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outlineLvl w:val="9"/>
        <w:rPr>
          <w:rFonts w:hint="eastAsia"/>
          <w:highlight w:val="none"/>
        </w:rPr>
      </w:pPr>
      <w:bookmarkStart w:id="0" w:name="_Toc8954"/>
      <w:bookmarkStart w:id="1" w:name="_Toc29509"/>
      <w:bookmarkStart w:id="2" w:name="_Toc354740313"/>
      <w:bookmarkStart w:id="3" w:name="_Toc342838732"/>
    </w:p>
    <w:p>
      <w:pPr>
        <w:spacing w:before="0" w:beforeLines="0" w:after="0" w:afterLines="0" w:line="240" w:lineRule="auto"/>
        <w:ind w:left="0" w:leftChars="0" w:right="0" w:rightChars="0" w:firstLine="0" w:firstLineChars="0"/>
        <w:jc w:val="both"/>
        <w:rPr>
          <w:rFonts w:hint="eastAsia" w:ascii="宋体" w:hAnsi="宋体"/>
          <w:b/>
          <w:bCs/>
          <w:sz w:val="44"/>
          <w:szCs w:val="44"/>
          <w:highlight w:val="none"/>
        </w:rPr>
      </w:pPr>
      <w:r>
        <w:rPr>
          <w:rFonts w:hint="eastAsia" w:ascii="宋体" w:hAnsi="宋体"/>
          <w:b/>
          <w:bCs/>
          <w:sz w:val="44"/>
          <w:szCs w:val="44"/>
          <w:highlight w:val="none"/>
        </w:rPr>
        <w:drawing>
          <wp:inline distT="0" distB="0" distL="114300" distR="114300">
            <wp:extent cx="839470" cy="739775"/>
            <wp:effectExtent l="0" t="0" r="17780" b="3175"/>
            <wp:docPr id="49" name="图片 3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5" descr="图片1"/>
                    <pic:cNvPicPr>
                      <a:picLocks noChangeAspect="1"/>
                    </pic:cNvPicPr>
                  </pic:nvPicPr>
                  <pic:blipFill>
                    <a:blip r:embed="rId10"/>
                    <a:stretch>
                      <a:fillRect/>
                    </a:stretch>
                  </pic:blipFill>
                  <pic:spPr>
                    <a:xfrm>
                      <a:off x="0" y="0"/>
                      <a:ext cx="839470" cy="739775"/>
                    </a:xfrm>
                    <a:prstGeom prst="rect">
                      <a:avLst/>
                    </a:prstGeom>
                    <a:noFill/>
                    <a:ln>
                      <a:noFill/>
                    </a:ln>
                  </pic:spPr>
                </pic:pic>
              </a:graphicData>
            </a:graphic>
          </wp:inline>
        </w:drawing>
      </w:r>
    </w:p>
    <w:p>
      <w:pPr>
        <w:pStyle w:val="2"/>
        <w:rPr>
          <w:highlight w:val="none"/>
        </w:rPr>
      </w:pPr>
    </w:p>
    <w:p>
      <w:pPr>
        <w:spacing w:before="0" w:beforeLines="0" w:after="0" w:afterLines="0" w:line="240" w:lineRule="auto"/>
        <w:ind w:left="0" w:leftChars="0" w:right="0" w:rightChars="0" w:firstLine="0" w:firstLineChars="0"/>
        <w:jc w:val="center"/>
        <w:rPr>
          <w:rFonts w:ascii="宋体" w:hAnsi="宋体" w:eastAsia="宋体"/>
          <w:b/>
          <w:bCs/>
          <w:sz w:val="32"/>
          <w:szCs w:val="32"/>
          <w:highlight w:val="none"/>
        </w:rPr>
      </w:pPr>
    </w:p>
    <w:p>
      <w:pPr>
        <w:jc w:val="center"/>
        <w:rPr>
          <w:b/>
          <w:bCs/>
          <w:sz w:val="36"/>
          <w:szCs w:val="36"/>
          <w:highlight w:val="none"/>
        </w:rPr>
      </w:pPr>
      <w:r>
        <w:rPr>
          <w:b/>
          <w:bCs/>
          <w:sz w:val="36"/>
          <w:szCs w:val="36"/>
          <w:highlight w:val="none"/>
        </w:rPr>
        <w:t>20</w:t>
      </w:r>
      <w:r>
        <w:rPr>
          <w:rFonts w:hint="eastAsia"/>
          <w:b/>
          <w:bCs/>
          <w:sz w:val="36"/>
          <w:szCs w:val="36"/>
          <w:highlight w:val="none"/>
          <w:lang w:val="en-US" w:eastAsia="zh-CN"/>
        </w:rPr>
        <w:t>19</w:t>
      </w:r>
      <w:r>
        <w:rPr>
          <w:b/>
          <w:bCs/>
          <w:sz w:val="36"/>
          <w:szCs w:val="36"/>
          <w:highlight w:val="none"/>
        </w:rPr>
        <w:t>年度企业</w:t>
      </w:r>
      <w:r>
        <w:rPr>
          <w:rFonts w:hint="eastAsia"/>
          <w:b/>
          <w:bCs/>
          <w:sz w:val="36"/>
          <w:szCs w:val="36"/>
          <w:highlight w:val="none"/>
          <w:lang w:eastAsia="zh-CN"/>
        </w:rPr>
        <w:t>社会责任</w:t>
      </w:r>
      <w:r>
        <w:rPr>
          <w:b/>
          <w:bCs/>
          <w:sz w:val="36"/>
          <w:szCs w:val="36"/>
          <w:highlight w:val="none"/>
        </w:rPr>
        <w:t>报告</w:t>
      </w:r>
    </w:p>
    <w:p>
      <w:pPr>
        <w:jc w:val="center"/>
        <w:rPr>
          <w:b/>
          <w:bCs/>
          <w:sz w:val="36"/>
          <w:szCs w:val="36"/>
          <w:highlight w:val="none"/>
        </w:rPr>
      </w:pPr>
    </w:p>
    <w:p>
      <w:pPr>
        <w:jc w:val="center"/>
        <w:rPr>
          <w:b/>
          <w:bCs/>
          <w:sz w:val="36"/>
          <w:szCs w:val="36"/>
          <w:highlight w:val="none"/>
        </w:rPr>
      </w:pPr>
    </w:p>
    <w:p>
      <w:pPr>
        <w:spacing w:before="0" w:beforeLines="0" w:after="0" w:afterLines="0" w:line="240" w:lineRule="auto"/>
        <w:ind w:left="0" w:leftChars="0" w:right="0" w:rightChars="0" w:firstLine="0" w:firstLineChars="0"/>
        <w:jc w:val="center"/>
        <w:rPr>
          <w:rFonts w:hint="eastAsia" w:ascii="宋体" w:hAnsi="华文中宋"/>
          <w:b/>
          <w:bCs/>
          <w:sz w:val="44"/>
          <w:szCs w:val="36"/>
          <w:highlight w:val="none"/>
        </w:rPr>
      </w:pPr>
      <w:r>
        <w:rPr>
          <w:rFonts w:hint="eastAsia" w:ascii="宋体" w:hAnsi="华文中宋"/>
          <w:b/>
          <w:bCs/>
          <w:sz w:val="44"/>
          <w:szCs w:val="36"/>
          <w:highlight w:val="none"/>
        </w:rPr>
        <w:drawing>
          <wp:inline distT="0" distB="0" distL="114300" distR="114300">
            <wp:extent cx="4792345" cy="2806700"/>
            <wp:effectExtent l="0" t="0" r="8255" b="12700"/>
            <wp:docPr id="48" name="图片 36" descr="1215264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6" descr="1215264360"/>
                    <pic:cNvPicPr>
                      <a:picLocks noChangeAspect="1"/>
                    </pic:cNvPicPr>
                  </pic:nvPicPr>
                  <pic:blipFill>
                    <a:blip r:embed="rId11"/>
                    <a:stretch>
                      <a:fillRect/>
                    </a:stretch>
                  </pic:blipFill>
                  <pic:spPr>
                    <a:xfrm>
                      <a:off x="0" y="0"/>
                      <a:ext cx="4792345" cy="2806700"/>
                    </a:xfrm>
                    <a:prstGeom prst="rect">
                      <a:avLst/>
                    </a:prstGeom>
                    <a:noFill/>
                    <a:ln>
                      <a:noFill/>
                    </a:ln>
                  </pic:spPr>
                </pic:pic>
              </a:graphicData>
            </a:graphic>
          </wp:inline>
        </w:drawing>
      </w:r>
    </w:p>
    <w:p>
      <w:pPr>
        <w:spacing w:before="0" w:beforeLines="0" w:after="0" w:afterLines="0" w:line="240" w:lineRule="auto"/>
        <w:ind w:left="0" w:leftChars="0" w:right="0" w:rightChars="0" w:firstLine="0" w:firstLineChars="0"/>
        <w:jc w:val="center"/>
        <w:rPr>
          <w:rFonts w:hint="eastAsia" w:ascii="宋体" w:hAnsi="华文中宋" w:eastAsia="宋体"/>
          <w:b/>
          <w:bCs/>
          <w:sz w:val="28"/>
          <w:szCs w:val="28"/>
          <w:highlight w:val="none"/>
          <w:lang w:eastAsia="zh-CN"/>
        </w:rPr>
      </w:pPr>
    </w:p>
    <w:p>
      <w:pPr>
        <w:spacing w:before="0" w:beforeLines="0" w:after="0" w:afterLines="0" w:line="240" w:lineRule="auto"/>
        <w:ind w:left="0" w:leftChars="0" w:right="0" w:rightChars="0" w:firstLine="0" w:firstLineChars="0"/>
        <w:jc w:val="center"/>
        <w:rPr>
          <w:rFonts w:hint="eastAsia" w:ascii="宋体" w:hAnsi="华文中宋" w:eastAsia="宋体"/>
          <w:b/>
          <w:bCs/>
          <w:sz w:val="28"/>
          <w:szCs w:val="28"/>
          <w:highlight w:val="none"/>
          <w:lang w:eastAsia="zh-CN"/>
        </w:rPr>
      </w:pPr>
    </w:p>
    <w:p>
      <w:pPr>
        <w:spacing w:before="0" w:beforeLines="0" w:after="0" w:afterLines="0" w:line="240" w:lineRule="auto"/>
        <w:ind w:left="0" w:leftChars="0" w:right="0" w:rightChars="0" w:firstLine="0" w:firstLineChars="0"/>
        <w:jc w:val="center"/>
        <w:rPr>
          <w:rFonts w:hint="eastAsia" w:ascii="宋体" w:hAnsi="华文中宋" w:eastAsia="宋体"/>
          <w:b/>
          <w:bCs/>
          <w:sz w:val="28"/>
          <w:szCs w:val="28"/>
          <w:highlight w:val="none"/>
          <w:lang w:eastAsia="zh-CN"/>
        </w:rPr>
      </w:pPr>
    </w:p>
    <w:p>
      <w:pPr>
        <w:spacing w:before="0" w:beforeLines="0" w:after="0" w:afterLines="0" w:line="240" w:lineRule="auto"/>
        <w:ind w:left="0" w:leftChars="0" w:right="0" w:rightChars="0" w:firstLine="0" w:firstLineChars="0"/>
        <w:jc w:val="both"/>
        <w:rPr>
          <w:rFonts w:hint="eastAsia" w:ascii="宋体" w:hAnsi="华文中宋" w:eastAsia="宋体"/>
          <w:b/>
          <w:bCs/>
          <w:sz w:val="28"/>
          <w:szCs w:val="28"/>
          <w:highlight w:val="none"/>
          <w:lang w:eastAsia="zh-CN"/>
        </w:rPr>
      </w:pPr>
    </w:p>
    <w:p>
      <w:pPr>
        <w:spacing w:before="0" w:beforeLines="0" w:after="0" w:afterLines="0" w:line="240" w:lineRule="auto"/>
        <w:ind w:left="0" w:leftChars="0" w:right="0" w:rightChars="0" w:firstLine="0" w:firstLineChars="0"/>
        <w:jc w:val="center"/>
        <w:rPr>
          <w:rFonts w:hint="eastAsia" w:ascii="宋体" w:hAnsi="华文中宋" w:eastAsia="宋体"/>
          <w:b/>
          <w:bCs/>
          <w:sz w:val="28"/>
          <w:szCs w:val="28"/>
          <w:highlight w:val="none"/>
          <w:lang w:eastAsia="zh-CN"/>
        </w:rPr>
      </w:pPr>
      <w:r>
        <w:rPr>
          <w:rFonts w:hint="eastAsia" w:ascii="宋体" w:hAnsi="华文中宋" w:eastAsia="宋体"/>
          <w:b/>
          <w:bCs/>
          <w:sz w:val="28"/>
          <w:szCs w:val="28"/>
          <w:highlight w:val="none"/>
          <w:lang w:eastAsia="zh-CN"/>
        </w:rPr>
        <w:t>江苏新海石化有限公司</w:t>
      </w:r>
    </w:p>
    <w:p>
      <w:pPr>
        <w:spacing w:before="0" w:beforeLines="0" w:after="0" w:afterLines="0" w:line="240" w:lineRule="auto"/>
        <w:ind w:left="0" w:leftChars="0" w:right="0" w:rightChars="0" w:firstLine="0" w:firstLineChars="0"/>
        <w:jc w:val="center"/>
        <w:rPr>
          <w:rFonts w:hint="eastAsia" w:ascii="宋体" w:hAnsi="华文中宋" w:eastAsia="宋体"/>
          <w:b/>
          <w:bCs/>
          <w:sz w:val="28"/>
          <w:szCs w:val="28"/>
          <w:highlight w:val="none"/>
          <w:lang w:val="en-US" w:eastAsia="zh-CN"/>
        </w:rPr>
        <w:sectPr>
          <w:headerReference r:id="rId4" w:type="first"/>
          <w:footerReference r:id="rId5" w:type="first"/>
          <w:headerReference r:id="rId3" w:type="default"/>
          <w:pgSz w:w="11906" w:h="16838"/>
          <w:pgMar w:top="1440" w:right="1800" w:bottom="1440" w:left="1800" w:header="851" w:footer="992" w:gutter="0"/>
          <w:pgNumType w:start="1"/>
          <w:cols w:space="720" w:num="1"/>
          <w:docGrid w:type="lines" w:linePitch="312" w:charSpace="0"/>
        </w:sectPr>
      </w:pPr>
      <w:r>
        <w:rPr>
          <w:rFonts w:hint="eastAsia" w:ascii="宋体" w:hAnsi="华文中宋" w:eastAsia="宋体"/>
          <w:b/>
          <w:bCs/>
          <w:sz w:val="28"/>
          <w:szCs w:val="28"/>
          <w:highlight w:val="none"/>
          <w:lang w:eastAsia="zh-CN"/>
        </w:rPr>
        <w:t>二</w:t>
      </w:r>
      <w:r>
        <w:rPr>
          <w:rFonts w:hint="eastAsia" w:ascii="宋体" w:hAnsi="华文中宋" w:eastAsia="宋体"/>
          <w:b/>
          <w:bCs/>
          <w:sz w:val="28"/>
          <w:szCs w:val="28"/>
          <w:highlight w:val="none"/>
          <w:lang w:val="en-US" w:eastAsia="zh-CN"/>
        </w:rPr>
        <w:t>0二0年一月</w:t>
      </w:r>
    </w:p>
    <w:p>
      <w:pPr>
        <w:pStyle w:val="2"/>
        <w:rPr>
          <w:rFonts w:hint="eastAsia"/>
          <w:lang w:val="en-US" w:eastAsia="zh-CN"/>
        </w:rPr>
        <w:sectPr>
          <w:pgSz w:w="11906" w:h="16838"/>
          <w:pgMar w:top="1440" w:right="1800" w:bottom="1440" w:left="1800" w:header="851" w:footer="992" w:gutter="0"/>
          <w:pgNumType w:start="1"/>
          <w:cols w:space="720" w:num="1"/>
          <w:docGrid w:type="lines" w:linePitch="312" w:charSpace="0"/>
        </w:sectPr>
      </w:pPr>
    </w:p>
    <w:p>
      <w:pPr>
        <w:pStyle w:val="5"/>
        <w:bidi w:val="0"/>
        <w:jc w:val="center"/>
        <w:outlineLvl w:val="9"/>
        <w:rPr>
          <w:rFonts w:hint="eastAsia"/>
          <w:highlight w:val="none"/>
        </w:rPr>
      </w:pPr>
    </w:p>
    <w:p>
      <w:pPr>
        <w:jc w:val="center"/>
        <w:rPr>
          <w:b/>
          <w:bCs/>
          <w:sz w:val="44"/>
          <w:szCs w:val="44"/>
          <w:highlight w:val="none"/>
        </w:rPr>
      </w:pPr>
      <w:r>
        <w:rPr>
          <w:b/>
          <w:bCs/>
          <w:sz w:val="44"/>
          <w:szCs w:val="44"/>
          <w:highlight w:val="none"/>
        </w:rPr>
        <w:t>20</w:t>
      </w:r>
      <w:r>
        <w:rPr>
          <w:rFonts w:hint="eastAsia"/>
          <w:b/>
          <w:bCs/>
          <w:sz w:val="44"/>
          <w:szCs w:val="44"/>
          <w:highlight w:val="none"/>
          <w:lang w:val="en-US" w:eastAsia="zh-CN"/>
        </w:rPr>
        <w:t>19</w:t>
      </w:r>
      <w:r>
        <w:rPr>
          <w:b/>
          <w:bCs/>
          <w:sz w:val="44"/>
          <w:szCs w:val="44"/>
          <w:highlight w:val="none"/>
        </w:rPr>
        <w:t>年度企业</w:t>
      </w:r>
      <w:r>
        <w:rPr>
          <w:rFonts w:hint="eastAsia"/>
          <w:b/>
          <w:bCs/>
          <w:sz w:val="44"/>
          <w:szCs w:val="44"/>
          <w:highlight w:val="none"/>
          <w:lang w:eastAsia="zh-CN"/>
        </w:rPr>
        <w:t>社会责任</w:t>
      </w:r>
      <w:r>
        <w:rPr>
          <w:b/>
          <w:bCs/>
          <w:sz w:val="44"/>
          <w:szCs w:val="44"/>
          <w:highlight w:val="none"/>
        </w:rPr>
        <w:t>报告</w:t>
      </w:r>
    </w:p>
    <w:p>
      <w:pPr>
        <w:pStyle w:val="20"/>
        <w:widowControl/>
        <w:spacing w:before="0" w:beforeAutospacing="0" w:after="0" w:afterAutospacing="0" w:line="300" w:lineRule="atLeast"/>
        <w:ind w:firstLine="562" w:firstLineChars="200"/>
        <w:jc w:val="center"/>
        <w:rPr>
          <w:rFonts w:hint="eastAsia" w:ascii="宋体" w:hAnsi="宋体" w:eastAsia="宋体" w:cs="宋体"/>
          <w:b/>
          <w:bCs/>
          <w:sz w:val="28"/>
          <w:szCs w:val="21"/>
          <w:highlight w:val="none"/>
          <w:lang w:eastAsia="zh-CN"/>
        </w:rPr>
      </w:pPr>
    </w:p>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jc w:val="center"/>
        <w:textAlignment w:val="auto"/>
        <w:rPr>
          <w:rFonts w:hint="eastAsia" w:ascii="仿宋" w:hAnsi="仿宋" w:eastAsia="仿宋" w:cs="仿宋"/>
          <w:b/>
          <w:bCs/>
          <w:sz w:val="24"/>
          <w:szCs w:val="24"/>
          <w:highlight w:val="none"/>
        </w:rPr>
      </w:pPr>
    </w:p>
    <w:sdt>
      <w:sdtPr>
        <w:rPr>
          <w:rFonts w:hint="eastAsia" w:ascii="仿宋" w:hAnsi="仿宋" w:eastAsia="仿宋" w:cs="仿宋"/>
          <w:kern w:val="2"/>
          <w:sz w:val="24"/>
          <w:szCs w:val="24"/>
          <w:highlight w:val="none"/>
          <w:lang w:val="en-US" w:eastAsia="zh-CN" w:bidi="ar-SA"/>
        </w:rPr>
        <w:id w:val="147457763"/>
        <w15:color w:val="DBDBDB"/>
        <w:docPartObj>
          <w:docPartGallery w:val="Table of Contents"/>
          <w:docPartUnique/>
        </w:docPartObj>
      </w:sdtPr>
      <w:sdtEndPr>
        <w:rPr>
          <w:rFonts w:hint="eastAsia" w:ascii="宋体" w:hAnsi="宋体" w:eastAsia="宋体" w:cs="宋体"/>
          <w:bCs/>
          <w:kern w:val="0"/>
          <w:sz w:val="24"/>
          <w:szCs w:val="21"/>
          <w:highlight w:val="none"/>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00" w:lineRule="auto"/>
            <w:ind w:left="0" w:leftChars="0" w:right="0" w:rightChars="0" w:firstLine="0" w:firstLineChars="0"/>
            <w:jc w:val="center"/>
            <w:textAlignment w:val="auto"/>
            <w:rPr>
              <w:rFonts w:hint="eastAsia" w:ascii="仿宋" w:hAnsi="仿宋" w:eastAsia="仿宋" w:cs="仿宋"/>
              <w:b/>
              <w:bCs/>
              <w:sz w:val="44"/>
              <w:szCs w:val="44"/>
              <w:highlight w:val="none"/>
            </w:rPr>
          </w:pPr>
          <w:r>
            <w:rPr>
              <w:rFonts w:hint="eastAsia" w:ascii="仿宋" w:hAnsi="仿宋" w:eastAsia="仿宋" w:cs="仿宋"/>
              <w:b/>
              <w:bCs/>
              <w:sz w:val="44"/>
              <w:szCs w:val="44"/>
              <w:highlight w:val="none"/>
            </w:rPr>
            <w:t>目录</w:t>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TOC \o "1-1" \h \u </w:instrText>
          </w:r>
          <w:r>
            <w:rPr>
              <w:rFonts w:hint="eastAsia" w:ascii="仿宋" w:hAnsi="仿宋" w:eastAsia="仿宋" w:cs="仿宋"/>
              <w:b/>
              <w:bCs/>
              <w:sz w:val="28"/>
              <w:szCs w:val="28"/>
              <w:highlight w:val="none"/>
            </w:rPr>
            <w:fldChar w:fldCharType="separate"/>
          </w: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_Toc31484 </w:instrText>
          </w:r>
          <w:r>
            <w:rPr>
              <w:rFonts w:hint="eastAsia" w:ascii="仿宋" w:hAnsi="仿宋" w:eastAsia="仿宋" w:cs="仿宋"/>
              <w:bCs/>
              <w:sz w:val="28"/>
              <w:szCs w:val="28"/>
              <w:highlight w:val="none"/>
            </w:rPr>
            <w:fldChar w:fldCharType="separate"/>
          </w:r>
          <w:r>
            <w:rPr>
              <w:rFonts w:hint="eastAsia" w:ascii="仿宋" w:hAnsi="仿宋" w:eastAsia="仿宋" w:cs="仿宋"/>
              <w:bCs/>
              <w:sz w:val="28"/>
              <w:szCs w:val="28"/>
              <w:highlight w:val="none"/>
              <w:lang w:eastAsia="zh-CN"/>
            </w:rPr>
            <w:t xml:space="preserve">一、 </w:t>
          </w:r>
          <w:r>
            <w:rPr>
              <w:rFonts w:hint="eastAsia" w:ascii="仿宋" w:hAnsi="仿宋" w:eastAsia="仿宋" w:cs="仿宋"/>
              <w:sz w:val="28"/>
              <w:szCs w:val="28"/>
              <w:highlight w:val="none"/>
            </w:rPr>
            <w:t>前 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_Toc31484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_Toc30530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eastAsia="zh-CN"/>
            </w:rPr>
            <w:t>二、关于本报告</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_Toc30530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_Toc29924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eastAsia="zh-CN"/>
            </w:rPr>
            <w:t>三、工会主席</w:t>
          </w:r>
          <w:r>
            <w:rPr>
              <w:rFonts w:hint="eastAsia" w:ascii="仿宋" w:hAnsi="仿宋" w:eastAsia="仿宋" w:cs="仿宋"/>
              <w:sz w:val="28"/>
              <w:szCs w:val="28"/>
              <w:highlight w:val="none"/>
            </w:rPr>
            <w:t>致辞</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_Toc29924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_Toc15824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eastAsia="zh-CN"/>
            </w:rPr>
            <w:t>四、</w:t>
          </w:r>
          <w:r>
            <w:rPr>
              <w:rFonts w:hint="eastAsia" w:ascii="仿宋" w:hAnsi="仿宋" w:eastAsia="仿宋" w:cs="仿宋"/>
              <w:sz w:val="28"/>
              <w:szCs w:val="28"/>
              <w:highlight w:val="none"/>
            </w:rPr>
            <w:t>公共</w:t>
          </w:r>
          <w:r>
            <w:rPr>
              <w:rFonts w:hint="eastAsia" w:ascii="仿宋" w:hAnsi="仿宋" w:eastAsia="仿宋" w:cs="仿宋"/>
              <w:sz w:val="28"/>
              <w:szCs w:val="28"/>
              <w:highlight w:val="none"/>
              <w:lang w:eastAsia="zh-CN"/>
            </w:rPr>
            <w:t>安全</w:t>
          </w:r>
          <w:r>
            <w:rPr>
              <w:rFonts w:hint="eastAsia" w:ascii="仿宋" w:hAnsi="仿宋" w:eastAsia="仿宋" w:cs="仿宋"/>
              <w:sz w:val="28"/>
              <w:szCs w:val="28"/>
              <w:highlight w:val="none"/>
            </w:rPr>
            <w:t>责任</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_Toc15824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_Toc4614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履行质量安全职责</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_Toc4614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8</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_Toc27433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eastAsia="zh-CN"/>
            </w:rPr>
            <w:t>六、</w:t>
          </w:r>
          <w:r>
            <w:rPr>
              <w:rFonts w:hint="eastAsia" w:ascii="仿宋" w:hAnsi="仿宋" w:eastAsia="仿宋" w:cs="仿宋"/>
              <w:sz w:val="28"/>
              <w:szCs w:val="28"/>
              <w:highlight w:val="none"/>
            </w:rPr>
            <w:t>道德行为</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_Toc27433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8</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_Toc30302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rPr>
            <w:t>公益支持</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_Toc30302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12</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_Toc2318 </w:instrText>
          </w:r>
          <w:r>
            <w:rPr>
              <w:rFonts w:hint="eastAsia" w:ascii="仿宋" w:hAnsi="仿宋" w:eastAsia="仿宋" w:cs="仿宋"/>
              <w:bCs/>
              <w:sz w:val="28"/>
              <w:szCs w:val="28"/>
              <w:highlight w:val="none"/>
            </w:rPr>
            <w:fldChar w:fldCharType="separate"/>
          </w:r>
          <w:r>
            <w:rPr>
              <w:rFonts w:hint="eastAsia" w:ascii="仿宋" w:hAnsi="仿宋" w:eastAsia="仿宋" w:cs="仿宋"/>
              <w:sz w:val="28"/>
              <w:szCs w:val="28"/>
              <w:highlight w:val="none"/>
              <w:lang w:eastAsia="zh-CN"/>
            </w:rPr>
            <w:t>八、主要社会责任指标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_Toc2318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13</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17"/>
            <w:keepNext w:val="0"/>
            <w:keepLines w:val="0"/>
            <w:pageBreakBefore w:val="0"/>
            <w:tabs>
              <w:tab w:val="right" w:leader="dot" w:pos="8306"/>
            </w:tabs>
            <w:kinsoku/>
            <w:wordWrap/>
            <w:overflowPunct/>
            <w:topLinePunct w:val="0"/>
            <w:autoSpaceDE/>
            <w:autoSpaceDN/>
            <w:bidi w:val="0"/>
            <w:adjustRightInd/>
            <w:snapToGrid/>
            <w:textAlignment w:val="auto"/>
            <w:rPr>
              <w:rFonts w:hint="eastAsia" w:ascii="仿宋" w:hAnsi="仿宋" w:eastAsia="仿宋" w:cs="仿宋"/>
              <w:sz w:val="28"/>
              <w:szCs w:val="28"/>
              <w:highlight w:val="none"/>
            </w:rPr>
          </w:pP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\l _Toc2946 </w:instrText>
          </w:r>
          <w:r>
            <w:rPr>
              <w:rFonts w:hint="eastAsia" w:ascii="仿宋" w:hAnsi="仿宋" w:eastAsia="仿宋" w:cs="仿宋"/>
              <w:bCs/>
              <w:sz w:val="28"/>
              <w:szCs w:val="28"/>
              <w:highlight w:val="none"/>
            </w:rPr>
            <w:fldChar w:fldCharType="separate"/>
          </w:r>
          <w:r>
            <w:rPr>
              <w:rFonts w:hint="eastAsia" w:ascii="仿宋" w:hAnsi="仿宋" w:eastAsia="仿宋" w:cs="仿宋"/>
              <w:kern w:val="2"/>
              <w:sz w:val="28"/>
              <w:szCs w:val="28"/>
              <w:highlight w:val="none"/>
              <w:lang w:val="en-US" w:eastAsia="zh-CN" w:bidi="ar-SA"/>
            </w:rPr>
            <w:t>九、 结束语</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_Toc2946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bCs/>
              <w:sz w:val="28"/>
              <w:szCs w:val="28"/>
              <w:highlight w:val="none"/>
            </w:rPr>
            <w:fldChar w:fldCharType="end"/>
          </w:r>
        </w:p>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00" w:lineRule="auto"/>
            <w:ind w:firstLine="560" w:firstLineChars="200"/>
            <w:jc w:val="center"/>
            <w:textAlignment w:val="auto"/>
            <w:rPr>
              <w:rFonts w:hint="eastAsia" w:ascii="宋体" w:hAnsi="宋体" w:cs="宋体"/>
              <w:b/>
              <w:bCs/>
              <w:sz w:val="28"/>
              <w:szCs w:val="21"/>
              <w:highlight w:val="none"/>
            </w:rPr>
          </w:pPr>
          <w:r>
            <w:rPr>
              <w:rFonts w:hint="eastAsia" w:ascii="仿宋" w:hAnsi="仿宋" w:eastAsia="仿宋" w:cs="仿宋"/>
              <w:bCs/>
              <w:sz w:val="28"/>
              <w:szCs w:val="28"/>
              <w:highlight w:val="none"/>
            </w:rPr>
            <w:fldChar w:fldCharType="end"/>
          </w:r>
        </w:p>
      </w:sdtContent>
    </w:sdt>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0"/>
        <w:widowControl/>
        <w:spacing w:before="0" w:beforeAutospacing="0" w:after="0" w:afterAutospacing="0" w:line="300" w:lineRule="atLeast"/>
        <w:ind w:firstLine="562" w:firstLineChars="200"/>
        <w:jc w:val="center"/>
        <w:rPr>
          <w:rFonts w:hint="eastAsia" w:ascii="宋体" w:hAnsi="宋体" w:cs="宋体"/>
          <w:b/>
          <w:bCs/>
          <w:sz w:val="28"/>
          <w:szCs w:val="21"/>
          <w:highlight w:val="none"/>
        </w:rPr>
      </w:pPr>
    </w:p>
    <w:p>
      <w:pPr>
        <w:pStyle w:val="4"/>
        <w:keepNext/>
        <w:keepLines/>
        <w:pageBreakBefore w:val="0"/>
        <w:widowControl w:val="0"/>
        <w:numPr>
          <w:ilvl w:val="0"/>
          <w:numId w:val="1"/>
        </w:numPr>
        <w:kinsoku/>
        <w:wordWrap/>
        <w:overflowPunct/>
        <w:topLinePunct w:val="0"/>
        <w:autoSpaceDE/>
        <w:autoSpaceDN/>
        <w:bidi w:val="0"/>
        <w:adjustRightInd/>
        <w:snapToGrid/>
        <w:jc w:val="left"/>
        <w:textAlignment w:val="auto"/>
        <w:rPr>
          <w:rFonts w:hint="eastAsia"/>
          <w:b/>
          <w:bCs/>
          <w:sz w:val="28"/>
          <w:szCs w:val="28"/>
          <w:highlight w:val="none"/>
          <w:lang w:eastAsia="zh-CN"/>
        </w:rPr>
      </w:pPr>
      <w:bookmarkStart w:id="4" w:name="_Toc31484"/>
      <w:bookmarkStart w:id="5" w:name="_Toc7603"/>
      <w:r>
        <w:rPr>
          <w:rFonts w:hint="eastAsia"/>
          <w:sz w:val="28"/>
          <w:szCs w:val="28"/>
          <w:highlight w:val="none"/>
        </w:rPr>
        <w:t>前 言</w:t>
      </w:r>
      <w:bookmarkEnd w:id="4"/>
      <w:bookmarkEnd w:id="5"/>
    </w:p>
    <w:p>
      <w:pPr>
        <w:numPr>
          <w:ilvl w:val="0"/>
          <w:numId w:val="0"/>
        </w:numPr>
        <w:bidi w:val="0"/>
        <w:ind w:firstLine="480" w:firstLineChars="200"/>
        <w:rPr>
          <w:rFonts w:hint="eastAsia"/>
          <w:highlight w:val="none"/>
        </w:rPr>
      </w:pPr>
      <w:r>
        <w:rPr>
          <w:rFonts w:hint="eastAsia"/>
          <w:highlight w:val="none"/>
          <w:lang w:eastAsia="zh-CN"/>
        </w:rPr>
        <w:t>新海石化</w:t>
      </w:r>
      <w:r>
        <w:rPr>
          <w:rFonts w:hint="eastAsia"/>
          <w:highlight w:val="none"/>
        </w:rPr>
        <w:t>秉持“高效、生态、循环、安全”的发展理念，积极推进绿色制造工程，在项目建设中全面采用国际先进的生产工艺，引进国际一流的生产设备，建设国际一流的安全环保设施，为绿色发展打牢基础。创新绿色发展模式，通过一体化、园区化、集约化、产业联合的发展模式，做到原料互供和副产品综合利用，节能降耗、提升效益。投入最先进的处理、回收技术，废气、废水、废渣利用回收装置再利用，实现工业废物综合利用，排放远低于设计标准，逐步形成了“环保-运营”的良性互动。大力发展循环经济，通过物料、能量、“三废”的循环利用，努力实现安全发展、三废低排放和资源高效利用的目标。通过完整的装置间、公司间、产业间循环经济模式，打造绿色产业链，实现物尽其用、清洁生产，打造国际一流的生态型、智能型、安全型石化企业。</w:t>
      </w:r>
    </w:p>
    <w:p>
      <w:pPr>
        <w:bidi w:val="0"/>
        <w:rPr>
          <w:rFonts w:hint="eastAsia"/>
          <w:highlight w:val="none"/>
        </w:rPr>
      </w:pPr>
      <w:r>
        <w:rPr>
          <w:rFonts w:hint="eastAsia"/>
          <w:highlight w:val="none"/>
          <w:lang w:eastAsia="zh-CN"/>
        </w:rPr>
        <w:t>新海石化</w:t>
      </w:r>
      <w:r>
        <w:rPr>
          <w:rFonts w:hint="eastAsia"/>
          <w:highlight w:val="none"/>
        </w:rPr>
        <w:t>奉行诚信为本的经营方针，被评为</w:t>
      </w:r>
      <w:r>
        <w:rPr>
          <w:rFonts w:hint="eastAsia"/>
          <w:highlight w:val="none"/>
          <w:lang w:eastAsia="zh-CN"/>
        </w:rPr>
        <w:t>江苏省长质量奖、</w:t>
      </w:r>
      <w:r>
        <w:rPr>
          <w:rFonts w:hint="eastAsia"/>
          <w:highlight w:val="none"/>
        </w:rPr>
        <w:t>江苏省质量信用AAA级企业、江苏质量诚信示范企业、江苏省诚信经营服务先进单位。依法纳税，连续6年企业信用等级为AAA级，作为当地纳税大户，近三年创造税收20亿元。公司将“环境改善、教育事业、慈善捐助”三个领域确定为公益事业支持重点，近三年累计投入3000余万元用于公益事业，产生了较好的社会影响，树立良好的社会形象。</w:t>
      </w:r>
    </w:p>
    <w:p>
      <w:pPr>
        <w:keepNext w:val="0"/>
        <w:keepLines w:val="0"/>
        <w:pageBreakBefore w:val="0"/>
        <w:widowControl w:val="0"/>
        <w:numPr>
          <w:ilvl w:val="0"/>
          <w:numId w:val="0"/>
        </w:numPr>
        <w:kinsoku/>
        <w:wordWrap/>
        <w:overflowPunct/>
        <w:topLinePunct w:val="0"/>
        <w:autoSpaceDE/>
        <w:autoSpaceDN/>
        <w:bidi w:val="0"/>
        <w:adjustRightInd/>
        <w:snapToGrid/>
        <w:spacing w:before="167" w:beforeLines="50" w:after="167" w:afterLines="50" w:line="240" w:lineRule="auto"/>
        <w:textAlignment w:val="auto"/>
        <w:outlineLvl w:val="0"/>
        <w:rPr>
          <w:rFonts w:hint="eastAsia" w:ascii="黑体" w:hAnsi="黑体" w:eastAsia="黑体" w:cs="黑体"/>
          <w:sz w:val="28"/>
          <w:szCs w:val="28"/>
          <w:highlight w:val="none"/>
          <w:lang w:eastAsia="zh-CN"/>
        </w:rPr>
      </w:pPr>
      <w:bookmarkStart w:id="6" w:name="_Toc30530"/>
      <w:r>
        <w:rPr>
          <w:rFonts w:hint="eastAsia" w:ascii="黑体" w:hAnsi="黑体" w:eastAsia="黑体" w:cs="黑体"/>
          <w:sz w:val="28"/>
          <w:szCs w:val="28"/>
          <w:highlight w:val="none"/>
          <w:lang w:eastAsia="zh-CN"/>
        </w:rPr>
        <w:t>二、关于本报告</w:t>
      </w:r>
      <w:bookmarkEnd w:id="6"/>
      <w:bookmarkStart w:id="34" w:name="_GoBack"/>
      <w:bookmarkEnd w:id="34"/>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bookmarkStart w:id="7" w:name="_Toc5296"/>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报告编制规范</w:t>
      </w:r>
      <w:bookmarkEnd w:id="7"/>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《江苏新海石化有限公司</w:t>
      </w:r>
      <w:r>
        <w:rPr>
          <w:rFonts w:hint="eastAsia" w:ascii="仿宋" w:hAnsi="仿宋" w:eastAsia="仿宋" w:cs="仿宋"/>
          <w:color w:val="000000"/>
          <w:highlight w:val="none"/>
          <w:lang w:eastAsia="zh-CN"/>
        </w:rPr>
        <w:t>企业社会责任报告</w:t>
      </w:r>
      <w:r>
        <w:rPr>
          <w:rFonts w:hint="eastAsia" w:ascii="仿宋" w:hAnsi="仿宋" w:eastAsia="仿宋" w:cs="仿宋"/>
          <w:color w:val="000000"/>
          <w:highlight w:val="none"/>
        </w:rPr>
        <w:t>》回顾了江苏新海石化有限公司在</w:t>
      </w:r>
      <w:r>
        <w:rPr>
          <w:rFonts w:hint="eastAsia" w:ascii="仿宋" w:hAnsi="仿宋" w:eastAsia="仿宋" w:cs="仿宋"/>
          <w:color w:val="000000"/>
          <w:highlight w:val="none"/>
          <w:lang w:eastAsia="zh-CN"/>
        </w:rPr>
        <w:t>公共安全</w:t>
      </w:r>
      <w:r>
        <w:rPr>
          <w:rFonts w:hint="eastAsia" w:ascii="仿宋" w:hAnsi="仿宋" w:eastAsia="仿宋" w:cs="仿宋"/>
          <w:color w:val="000000"/>
          <w:highlight w:val="none"/>
        </w:rPr>
        <w:t>、产品质量</w:t>
      </w:r>
      <w:r>
        <w:rPr>
          <w:rFonts w:hint="eastAsia" w:ascii="仿宋" w:hAnsi="仿宋" w:eastAsia="仿宋" w:cs="仿宋"/>
          <w:color w:val="000000"/>
          <w:highlight w:val="none"/>
          <w:lang w:eastAsia="zh-CN"/>
        </w:rPr>
        <w:t>安全</w:t>
      </w:r>
      <w:r>
        <w:rPr>
          <w:rFonts w:hint="eastAsia" w:ascii="仿宋" w:hAnsi="仿宋" w:eastAsia="仿宋" w:cs="仿宋"/>
          <w:color w:val="000000"/>
          <w:highlight w:val="none"/>
        </w:rPr>
        <w:t>、</w:t>
      </w:r>
      <w:r>
        <w:rPr>
          <w:rFonts w:hint="eastAsia" w:ascii="仿宋" w:hAnsi="仿宋" w:eastAsia="仿宋" w:cs="仿宋"/>
          <w:color w:val="000000"/>
          <w:highlight w:val="none"/>
          <w:lang w:eastAsia="zh-CN"/>
        </w:rPr>
        <w:t>社会职责履行</w:t>
      </w:r>
      <w:r>
        <w:rPr>
          <w:rFonts w:hint="eastAsia" w:ascii="仿宋" w:hAnsi="仿宋" w:eastAsia="仿宋" w:cs="仿宋"/>
          <w:color w:val="000000"/>
          <w:highlight w:val="none"/>
        </w:rPr>
        <w:t>等方面的理念、制度、措施以及取得的成效。关于本报告的叙述内容，说明如下：</w:t>
      </w:r>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bookmarkStart w:id="8" w:name="_Toc12801"/>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报告范围</w:t>
      </w:r>
      <w:bookmarkEnd w:id="8"/>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报告的组织范围：江苏新海石化有限公司</w:t>
      </w:r>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报告的时间范围：201</w:t>
      </w:r>
      <w:r>
        <w:rPr>
          <w:rFonts w:hint="eastAsia" w:ascii="仿宋" w:hAnsi="仿宋" w:eastAsia="仿宋" w:cs="仿宋"/>
          <w:color w:val="000000"/>
          <w:highlight w:val="none"/>
          <w:lang w:val="en-US" w:eastAsia="zh-CN"/>
        </w:rPr>
        <w:t>9</w:t>
      </w:r>
      <w:r>
        <w:rPr>
          <w:rFonts w:hint="eastAsia" w:ascii="仿宋" w:hAnsi="仿宋" w:eastAsia="仿宋" w:cs="仿宋"/>
          <w:color w:val="000000"/>
          <w:highlight w:val="none"/>
        </w:rPr>
        <w:t>年</w:t>
      </w:r>
      <w:r>
        <w:rPr>
          <w:rFonts w:hint="eastAsia" w:ascii="仿宋" w:hAnsi="仿宋" w:eastAsia="仿宋" w:cs="仿宋"/>
          <w:color w:val="000000"/>
          <w:highlight w:val="none"/>
          <w:lang w:val="en-US" w:eastAsia="zh-CN"/>
        </w:rPr>
        <w:t>1</w:t>
      </w:r>
      <w:r>
        <w:rPr>
          <w:rFonts w:hint="eastAsia" w:ascii="仿宋" w:hAnsi="仿宋" w:eastAsia="仿宋" w:cs="仿宋"/>
          <w:color w:val="000000"/>
          <w:highlight w:val="none"/>
        </w:rPr>
        <w:t>月1日至20</w:t>
      </w:r>
      <w:r>
        <w:rPr>
          <w:rFonts w:hint="eastAsia" w:ascii="仿宋" w:hAnsi="仿宋" w:eastAsia="仿宋" w:cs="仿宋"/>
          <w:color w:val="000000"/>
          <w:highlight w:val="none"/>
          <w:lang w:val="en-US" w:eastAsia="zh-CN"/>
        </w:rPr>
        <w:t>19</w:t>
      </w:r>
      <w:r>
        <w:rPr>
          <w:rFonts w:hint="eastAsia" w:ascii="仿宋" w:hAnsi="仿宋" w:eastAsia="仿宋" w:cs="仿宋"/>
          <w:color w:val="000000"/>
          <w:highlight w:val="none"/>
        </w:rPr>
        <w:t>年</w:t>
      </w:r>
      <w:r>
        <w:rPr>
          <w:rFonts w:hint="eastAsia" w:ascii="仿宋" w:hAnsi="仿宋" w:eastAsia="仿宋" w:cs="仿宋"/>
          <w:color w:val="000000"/>
          <w:highlight w:val="none"/>
          <w:lang w:val="en-US" w:eastAsia="zh-CN"/>
        </w:rPr>
        <w:t>12</w:t>
      </w:r>
      <w:r>
        <w:rPr>
          <w:rFonts w:hint="eastAsia" w:ascii="仿宋" w:hAnsi="仿宋" w:eastAsia="仿宋" w:cs="仿宋"/>
          <w:color w:val="000000"/>
          <w:highlight w:val="none"/>
        </w:rPr>
        <w:t>月</w:t>
      </w:r>
      <w:r>
        <w:rPr>
          <w:rFonts w:hint="eastAsia" w:ascii="仿宋" w:hAnsi="仿宋" w:eastAsia="仿宋" w:cs="仿宋"/>
          <w:color w:val="000000"/>
          <w:highlight w:val="none"/>
          <w:lang w:val="en-US" w:eastAsia="zh-CN"/>
        </w:rPr>
        <w:t>3</w:t>
      </w:r>
      <w:r>
        <w:rPr>
          <w:rFonts w:hint="eastAsia" w:ascii="仿宋" w:hAnsi="仿宋" w:eastAsia="仿宋" w:cs="仿宋"/>
          <w:color w:val="000000"/>
          <w:highlight w:val="none"/>
        </w:rPr>
        <w:t>1日</w:t>
      </w:r>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报告的发布周期：1次/年</w:t>
      </w:r>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bookmarkStart w:id="9" w:name="_Toc21477"/>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报告内容客观性声明</w:t>
      </w:r>
      <w:bookmarkEnd w:id="9"/>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本报告完全依托公司生产经营实际情况而编写，内容客观公正，绝无虚假信息，愿对本报告内容真实性负责。</w:t>
      </w:r>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bookmarkStart w:id="10" w:name="_Toc16035"/>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报告数据说明</w:t>
      </w:r>
      <w:bookmarkEnd w:id="10"/>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本报告所有的内容均来自公司实际真实情况或数据。</w:t>
      </w:r>
    </w:p>
    <w:p>
      <w:pPr>
        <w:pStyle w:val="5"/>
        <w:keepNext/>
        <w:keepLines/>
        <w:pageBreakBefore w:val="0"/>
        <w:widowControl w:val="0"/>
        <w:kinsoku/>
        <w:wordWrap/>
        <w:overflowPunct/>
        <w:topLinePunct w:val="0"/>
        <w:autoSpaceDE/>
        <w:autoSpaceDN/>
        <w:bidi w:val="0"/>
        <w:adjustRightInd/>
        <w:snapToGrid/>
        <w:spacing w:before="0" w:beforeLines="0" w:after="0" w:afterLines="0" w:line="300" w:lineRule="auto"/>
        <w:ind w:firstLine="480" w:firstLineChars="200"/>
        <w:textAlignment w:val="auto"/>
        <w:rPr>
          <w:rFonts w:hint="eastAsia" w:ascii="仿宋" w:hAnsi="仿宋" w:eastAsia="仿宋" w:cs="仿宋"/>
          <w:sz w:val="24"/>
          <w:szCs w:val="24"/>
          <w:highlight w:val="none"/>
        </w:rPr>
      </w:pPr>
      <w:bookmarkStart w:id="11" w:name="_Toc4950"/>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报告发布形式</w:t>
      </w:r>
      <w:bookmarkEnd w:id="11"/>
    </w:p>
    <w:p>
      <w:pPr>
        <w:pStyle w:val="20"/>
        <w:pageBreakBefore w:val="0"/>
        <w:widowControl/>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hint="eastAsia" w:ascii="仿宋" w:hAnsi="仿宋" w:eastAsia="仿宋" w:cs="仿宋"/>
          <w:color w:val="000000"/>
          <w:highlight w:val="none"/>
        </w:rPr>
      </w:pPr>
      <w:r>
        <w:rPr>
          <w:rFonts w:hint="eastAsia" w:ascii="仿宋" w:hAnsi="仿宋" w:eastAsia="仿宋" w:cs="仿宋"/>
          <w:color w:val="000000"/>
          <w:highlight w:val="none"/>
        </w:rPr>
        <w:t>公司将以新海石化官网为载体，展现《企业</w:t>
      </w:r>
      <w:r>
        <w:rPr>
          <w:rFonts w:hint="eastAsia" w:ascii="仿宋" w:hAnsi="仿宋" w:eastAsia="仿宋" w:cs="仿宋"/>
          <w:color w:val="000000"/>
          <w:highlight w:val="none"/>
          <w:lang w:eastAsia="zh-CN"/>
        </w:rPr>
        <w:t>社会责任</w:t>
      </w:r>
      <w:r>
        <w:rPr>
          <w:rFonts w:hint="eastAsia" w:ascii="仿宋" w:hAnsi="仿宋" w:eastAsia="仿宋" w:cs="仿宋"/>
          <w:color w:val="000000"/>
          <w:highlight w:val="none"/>
        </w:rPr>
        <w:t>》，并供下载阅读。</w:t>
      </w:r>
    </w:p>
    <w:p>
      <w:pPr>
        <w:pStyle w:val="5"/>
        <w:keepNext/>
        <w:keepLines/>
        <w:pageBreakBefore w:val="0"/>
        <w:widowControl w:val="0"/>
        <w:numPr>
          <w:ilvl w:val="0"/>
          <w:numId w:val="0"/>
        </w:numPr>
        <w:kinsoku/>
        <w:wordWrap/>
        <w:overflowPunct/>
        <w:topLinePunct w:val="0"/>
        <w:autoSpaceDE/>
        <w:autoSpaceDN/>
        <w:bidi w:val="0"/>
        <w:adjustRightInd/>
        <w:snapToGrid/>
        <w:ind w:leftChars="0"/>
        <w:textAlignment w:val="auto"/>
        <w:outlineLvl w:val="0"/>
        <w:rPr>
          <w:rFonts w:hint="eastAsia" w:ascii="黑体" w:hAnsi="黑体" w:eastAsia="黑体" w:cs="黑体"/>
          <w:sz w:val="28"/>
          <w:szCs w:val="28"/>
          <w:highlight w:val="none"/>
        </w:rPr>
      </w:pPr>
      <w:bookmarkStart w:id="12" w:name="_Toc29924"/>
      <w:bookmarkStart w:id="13" w:name="_Toc998"/>
      <w:r>
        <w:rPr>
          <w:rFonts w:hint="eastAsia" w:ascii="黑体" w:hAnsi="黑体" w:cs="黑体"/>
          <w:sz w:val="28"/>
          <w:szCs w:val="28"/>
          <w:highlight w:val="none"/>
          <w:lang w:eastAsia="zh-CN"/>
        </w:rPr>
        <w:t>三、工会主席</w:t>
      </w:r>
      <w:r>
        <w:rPr>
          <w:rFonts w:hint="eastAsia" w:ascii="黑体" w:hAnsi="黑体" w:eastAsia="黑体" w:cs="黑体"/>
          <w:sz w:val="28"/>
          <w:szCs w:val="28"/>
          <w:highlight w:val="none"/>
        </w:rPr>
        <w:t>致辞</w:t>
      </w:r>
      <w:bookmarkEnd w:id="12"/>
      <w:bookmarkEnd w:id="13"/>
    </w:p>
    <w:p>
      <w:pPr>
        <w:keepNext w:val="0"/>
        <w:keepLines w:val="0"/>
        <w:pageBreakBefore w:val="0"/>
        <w:widowControl/>
        <w:kinsoku/>
        <w:wordWrap/>
        <w:overflowPunct/>
        <w:topLinePunct w:val="0"/>
        <w:autoSpaceDE/>
        <w:autoSpaceDN/>
        <w:bidi w:val="0"/>
        <w:adjustRightInd/>
        <w:snapToGrid/>
        <w:spacing w:line="300" w:lineRule="auto"/>
        <w:ind w:firstLine="480" w:firstLineChars="200"/>
        <w:jc w:val="left"/>
        <w:textAlignment w:val="auto"/>
        <w:rPr>
          <w:rFonts w:hint="eastAsia" w:ascii="仿宋" w:hAnsi="仿宋" w:eastAsia="仿宋" w:cs="仿宋"/>
          <w:highlight w:val="none"/>
          <w:lang w:eastAsia="zh-CN"/>
        </w:rPr>
      </w:pPr>
      <w:r>
        <w:rPr>
          <w:rFonts w:hint="eastAsia" w:ascii="仿宋" w:hAnsi="仿宋" w:eastAsia="仿宋" w:cs="仿宋"/>
          <w:highlight w:val="none"/>
          <w:lang w:eastAsia="zh-CN"/>
        </w:rPr>
        <w:t>新海石化</w:t>
      </w:r>
      <w:r>
        <w:rPr>
          <w:rFonts w:hint="eastAsia" w:ascii="仿宋" w:hAnsi="仿宋" w:cs="仿宋"/>
          <w:highlight w:val="none"/>
          <w:lang w:eastAsia="zh-CN"/>
        </w:rPr>
        <w:t>始终</w:t>
      </w:r>
      <w:r>
        <w:rPr>
          <w:rFonts w:hint="eastAsia" w:ascii="仿宋" w:hAnsi="仿宋" w:eastAsia="仿宋" w:cs="仿宋"/>
          <w:highlight w:val="none"/>
        </w:rPr>
        <w:t>秉持“高效、生态、循环、安全”的发展理念</w:t>
      </w:r>
      <w:r>
        <w:rPr>
          <w:rFonts w:hint="eastAsia" w:ascii="仿宋" w:hAnsi="仿宋" w:eastAsia="仿宋" w:cs="仿宋"/>
          <w:highlight w:val="none"/>
          <w:lang w:eastAsia="zh-CN"/>
        </w:rPr>
        <w:t>，在日益发展壮大的同时，严格承担所应负有的社会责任，包括生产安全，质量安全，保护员工权益、保护环境、支持慈善、卫生、教育等公益事业等等，把履行社会责任融入到公司的运营全过程及日常管理中，通过安全环保体系建设、质量体系建设，开展各类公益事业等确保了公司全面、全员、全过程履行社会责任。</w:t>
      </w:r>
    </w:p>
    <w:p>
      <w:pPr>
        <w:keepNext w:val="0"/>
        <w:keepLines w:val="0"/>
        <w:pageBreakBefore w:val="0"/>
        <w:widowControl/>
        <w:kinsoku/>
        <w:wordWrap/>
        <w:overflowPunct/>
        <w:topLinePunct w:val="0"/>
        <w:autoSpaceDE/>
        <w:autoSpaceDN/>
        <w:bidi w:val="0"/>
        <w:adjustRightInd/>
        <w:snapToGrid/>
        <w:spacing w:line="300"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t xml:space="preserve"> 诚信经营，引领社会规范价值</w:t>
      </w:r>
      <w:r>
        <w:rPr>
          <w:rFonts w:hint="eastAsia" w:ascii="仿宋" w:hAnsi="仿宋" w:cs="仿宋"/>
          <w:color w:val="auto"/>
          <w:sz w:val="24"/>
          <w:highlight w:val="none"/>
          <w:lang w:eastAsia="zh-CN"/>
        </w:rPr>
        <w:t>。新海石化</w:t>
      </w:r>
      <w:r>
        <w:rPr>
          <w:rFonts w:hint="eastAsia" w:ascii="仿宋" w:hAnsi="仿宋" w:eastAsia="仿宋" w:cs="仿宋"/>
          <w:color w:val="auto"/>
          <w:sz w:val="24"/>
          <w:highlight w:val="none"/>
        </w:rPr>
        <w:t>从创业伊始便以“</w:t>
      </w:r>
      <w:r>
        <w:rPr>
          <w:rFonts w:hint="eastAsia" w:ascii="仿宋" w:hAnsi="仿宋" w:cs="仿宋"/>
          <w:color w:val="auto"/>
          <w:sz w:val="24"/>
          <w:highlight w:val="none"/>
          <w:lang w:eastAsia="zh-CN"/>
        </w:rPr>
        <w:t>服务创造价值，真诚换取忠诚</w:t>
      </w:r>
      <w:r>
        <w:rPr>
          <w:rFonts w:hint="eastAsia" w:ascii="仿宋" w:hAnsi="仿宋" w:eastAsia="仿宋" w:cs="仿宋"/>
          <w:color w:val="auto"/>
          <w:sz w:val="24"/>
          <w:highlight w:val="none"/>
        </w:rPr>
        <w:t>”作为自己</w:t>
      </w:r>
      <w:r>
        <w:rPr>
          <w:rFonts w:hint="eastAsia" w:ascii="仿宋" w:hAnsi="仿宋" w:eastAsia="仿宋" w:cs="仿宋"/>
          <w:color w:val="auto"/>
          <w:sz w:val="24"/>
          <w:szCs w:val="24"/>
          <w:highlight w:val="none"/>
        </w:rPr>
        <w:t>的</w:t>
      </w:r>
      <w:r>
        <w:rPr>
          <w:rFonts w:hint="eastAsia" w:ascii="仿宋" w:hAnsi="仿宋" w:cs="仿宋"/>
          <w:color w:val="auto"/>
          <w:sz w:val="24"/>
          <w:szCs w:val="24"/>
          <w:highlight w:val="none"/>
          <w:lang w:eastAsia="zh-CN"/>
        </w:rPr>
        <w:t>服务</w:t>
      </w:r>
      <w:r>
        <w:rPr>
          <w:rFonts w:hint="eastAsia" w:ascii="仿宋" w:hAnsi="仿宋" w:eastAsia="仿宋" w:cs="仿宋"/>
          <w:color w:val="auto"/>
          <w:sz w:val="24"/>
          <w:szCs w:val="24"/>
          <w:highlight w:val="none"/>
        </w:rPr>
        <w:t>理念，“诚信”被融于</w:t>
      </w:r>
      <w:r>
        <w:rPr>
          <w:rFonts w:hint="eastAsia" w:ascii="仿宋" w:hAnsi="仿宋" w:cs="仿宋"/>
          <w:color w:val="auto"/>
          <w:sz w:val="24"/>
          <w:szCs w:val="24"/>
          <w:highlight w:val="none"/>
          <w:lang w:eastAsia="zh-CN"/>
        </w:rPr>
        <w:t>新海</w:t>
      </w:r>
      <w:r>
        <w:rPr>
          <w:rFonts w:hint="eastAsia" w:ascii="仿宋" w:hAnsi="仿宋" w:eastAsia="仿宋" w:cs="仿宋"/>
          <w:color w:val="auto"/>
          <w:sz w:val="24"/>
          <w:szCs w:val="24"/>
          <w:highlight w:val="none"/>
        </w:rPr>
        <w:t>人的血脉之中，通过多年来的不断探索和实践，</w:t>
      </w:r>
      <w:r>
        <w:rPr>
          <w:rFonts w:hint="eastAsia" w:ascii="仿宋" w:hAnsi="仿宋" w:cs="仿宋"/>
          <w:color w:val="auto"/>
          <w:sz w:val="24"/>
          <w:szCs w:val="24"/>
          <w:highlight w:val="none"/>
          <w:lang w:eastAsia="zh-CN"/>
        </w:rPr>
        <w:t>新海</w:t>
      </w:r>
      <w:r>
        <w:rPr>
          <w:rFonts w:hint="eastAsia" w:ascii="仿宋" w:hAnsi="仿宋" w:eastAsia="仿宋" w:cs="仿宋"/>
          <w:color w:val="auto"/>
          <w:sz w:val="24"/>
          <w:szCs w:val="24"/>
          <w:highlight w:val="none"/>
        </w:rPr>
        <w:t>将诚信经营作为企业的管理体系之一加以运作，</w:t>
      </w:r>
      <w:r>
        <w:rPr>
          <w:rFonts w:hint="eastAsia" w:ascii="仿宋" w:hAnsi="仿宋" w:cs="仿宋"/>
          <w:color w:val="auto"/>
          <w:sz w:val="24"/>
          <w:szCs w:val="24"/>
          <w:highlight w:val="none"/>
          <w:lang w:eastAsia="zh-CN"/>
        </w:rPr>
        <w:t>荣获江苏</w:t>
      </w:r>
      <w:r>
        <w:rPr>
          <w:rFonts w:hint="eastAsia" w:ascii="仿宋" w:hAnsi="仿宋" w:eastAsia="仿宋" w:cs="仿宋"/>
          <w:color w:val="auto"/>
          <w:sz w:val="24"/>
          <w:szCs w:val="24"/>
          <w:highlight w:val="none"/>
        </w:rPr>
        <w:t>省“AAA级资信企业”、“江苏省优秀企业”、“江苏省地标型企业”、“江苏省安全生产诚信企业”</w:t>
      </w:r>
      <w:r>
        <w:rPr>
          <w:rFonts w:hint="eastAsia" w:ascii="仿宋" w:hAnsi="仿宋" w:cs="仿宋"/>
          <w:color w:val="auto"/>
          <w:sz w:val="24"/>
          <w:szCs w:val="24"/>
          <w:highlight w:val="none"/>
          <w:lang w:eastAsia="zh-CN"/>
        </w:rPr>
        <w:t>、</w:t>
      </w:r>
      <w:r>
        <w:rPr>
          <w:rFonts w:hint="eastAsia" w:ascii="仿宋" w:hAnsi="仿宋" w:eastAsia="仿宋" w:cs="仿宋"/>
          <w:color w:val="auto"/>
          <w:sz w:val="24"/>
          <w:szCs w:val="24"/>
          <w:highlight w:val="none"/>
        </w:rPr>
        <w:t>“连云港市长质量奖”</w:t>
      </w:r>
      <w:r>
        <w:rPr>
          <w:rFonts w:hint="eastAsia" w:ascii="仿宋" w:hAnsi="仿宋" w:eastAsia="仿宋" w:cs="仿宋"/>
          <w:color w:val="auto"/>
          <w:sz w:val="24"/>
          <w:szCs w:val="24"/>
          <w:highlight w:val="none"/>
          <w:lang w:eastAsia="zh-CN"/>
        </w:rPr>
        <w:t>、“江苏省质量信用</w:t>
      </w:r>
      <w:r>
        <w:rPr>
          <w:rFonts w:hint="eastAsia" w:ascii="仿宋" w:hAnsi="仿宋" w:eastAsia="仿宋" w:cs="仿宋"/>
          <w:color w:val="auto"/>
          <w:sz w:val="24"/>
          <w:szCs w:val="24"/>
          <w:highlight w:val="none"/>
          <w:lang w:val="en-US" w:eastAsia="zh-CN"/>
        </w:rPr>
        <w:t>AAA级企业</w:t>
      </w:r>
      <w:r>
        <w:rPr>
          <w:rFonts w:hint="eastAsia" w:ascii="仿宋" w:hAnsi="仿宋" w:eastAsia="仿宋" w:cs="仿宋"/>
          <w:color w:val="auto"/>
          <w:sz w:val="24"/>
          <w:szCs w:val="24"/>
          <w:highlight w:val="none"/>
          <w:lang w:eastAsia="zh-CN"/>
        </w:rPr>
        <w:t>”</w:t>
      </w:r>
      <w:r>
        <w:rPr>
          <w:rFonts w:hint="eastAsia" w:ascii="仿宋" w:hAnsi="仿宋" w:cs="仿宋"/>
          <w:color w:val="auto"/>
          <w:sz w:val="24"/>
          <w:szCs w:val="24"/>
          <w:highlight w:val="none"/>
          <w:lang w:eastAsia="zh-CN"/>
        </w:rPr>
        <w:t>等荣誉称号</w:t>
      </w:r>
      <w:r>
        <w:rPr>
          <w:rFonts w:hint="eastAsia" w:ascii="仿宋" w:hAnsi="仿宋" w:eastAsia="仿宋" w:cs="仿宋"/>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300" w:lineRule="auto"/>
        <w:ind w:firstLine="480" w:firstLineChars="200"/>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rPr>
        <w:t>投身公益，实现企业公民价值</w:t>
      </w:r>
      <w:r>
        <w:rPr>
          <w:rFonts w:hint="eastAsia" w:ascii="仿宋" w:hAnsi="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cs="仿宋"/>
          <w:color w:val="auto"/>
          <w:sz w:val="24"/>
          <w:szCs w:val="24"/>
          <w:highlight w:val="none"/>
          <w:lang w:eastAsia="zh-CN"/>
        </w:rPr>
        <w:t>产业兴邦，造福大众</w:t>
      </w:r>
      <w:r>
        <w:rPr>
          <w:rFonts w:hint="eastAsia" w:ascii="仿宋" w:hAnsi="仿宋" w:eastAsia="仿宋" w:cs="仿宋"/>
          <w:color w:val="auto"/>
          <w:sz w:val="24"/>
          <w:szCs w:val="24"/>
          <w:highlight w:val="none"/>
        </w:rPr>
        <w:t>”是</w:t>
      </w:r>
      <w:r>
        <w:rPr>
          <w:rFonts w:hint="eastAsia" w:ascii="仿宋" w:hAnsi="仿宋" w:cs="仿宋"/>
          <w:color w:val="auto"/>
          <w:sz w:val="24"/>
          <w:szCs w:val="24"/>
          <w:highlight w:val="none"/>
          <w:lang w:eastAsia="zh-CN"/>
        </w:rPr>
        <w:t>新海</w:t>
      </w:r>
      <w:r>
        <w:rPr>
          <w:rFonts w:hint="eastAsia" w:ascii="仿宋" w:hAnsi="仿宋" w:eastAsia="仿宋" w:cs="仿宋"/>
          <w:color w:val="auto"/>
          <w:sz w:val="24"/>
          <w:szCs w:val="24"/>
          <w:highlight w:val="none"/>
        </w:rPr>
        <w:t>人的</w:t>
      </w:r>
      <w:r>
        <w:rPr>
          <w:rFonts w:hint="eastAsia" w:ascii="仿宋" w:hAnsi="仿宋" w:cs="仿宋"/>
          <w:color w:val="auto"/>
          <w:sz w:val="24"/>
          <w:szCs w:val="24"/>
          <w:highlight w:val="none"/>
          <w:lang w:eastAsia="zh-CN"/>
        </w:rPr>
        <w:t>企业使命</w:t>
      </w:r>
      <w:r>
        <w:rPr>
          <w:rFonts w:hint="eastAsia" w:ascii="仿宋" w:hAnsi="仿宋" w:eastAsia="仿宋" w:cs="仿宋"/>
          <w:color w:val="auto"/>
          <w:sz w:val="24"/>
          <w:szCs w:val="24"/>
          <w:highlight w:val="none"/>
        </w:rPr>
        <w:t>，多年来，</w:t>
      </w:r>
      <w:r>
        <w:rPr>
          <w:rFonts w:hint="eastAsia" w:ascii="仿宋" w:hAnsi="仿宋" w:cs="仿宋"/>
          <w:color w:val="auto"/>
          <w:sz w:val="24"/>
          <w:szCs w:val="24"/>
          <w:highlight w:val="none"/>
          <w:lang w:eastAsia="zh-CN"/>
        </w:rPr>
        <w:t>新海</w:t>
      </w:r>
      <w:r>
        <w:rPr>
          <w:rFonts w:hint="eastAsia" w:ascii="仿宋" w:hAnsi="仿宋" w:eastAsia="仿宋" w:cs="仿宋"/>
          <w:color w:val="auto"/>
          <w:sz w:val="24"/>
          <w:szCs w:val="24"/>
          <w:highlight w:val="none"/>
        </w:rPr>
        <w:t>在自身发展的同时，积极回报社会、造福百姓。自创立伊始，</w:t>
      </w:r>
      <w:r>
        <w:rPr>
          <w:rFonts w:hint="eastAsia" w:ascii="仿宋" w:hAnsi="仿宋" w:cs="仿宋"/>
          <w:color w:val="auto"/>
          <w:sz w:val="24"/>
          <w:szCs w:val="24"/>
          <w:highlight w:val="none"/>
          <w:lang w:eastAsia="zh-CN"/>
        </w:rPr>
        <w:t>新海石化</w:t>
      </w:r>
      <w:r>
        <w:rPr>
          <w:rFonts w:hint="eastAsia" w:ascii="仿宋" w:hAnsi="仿宋" w:eastAsia="仿宋" w:cs="仿宋"/>
          <w:color w:val="auto"/>
          <w:sz w:val="24"/>
          <w:szCs w:val="24"/>
          <w:highlight w:val="none"/>
        </w:rPr>
        <w:t>对社会公众的福祉和利益给予了持续不断的关注，经济发展与社会责任</w:t>
      </w:r>
      <w:r>
        <w:rPr>
          <w:rFonts w:hint="eastAsia" w:ascii="仿宋" w:hAnsi="仿宋" w:eastAsia="仿宋" w:cs="仿宋"/>
          <w:color w:val="auto"/>
          <w:sz w:val="24"/>
          <w:highlight w:val="none"/>
        </w:rPr>
        <w:t>管理并重。如今，</w:t>
      </w:r>
      <w:r>
        <w:rPr>
          <w:rFonts w:hint="eastAsia" w:ascii="仿宋" w:hAnsi="仿宋" w:cs="仿宋"/>
          <w:color w:val="auto"/>
          <w:sz w:val="24"/>
          <w:highlight w:val="none"/>
          <w:lang w:eastAsia="zh-CN"/>
        </w:rPr>
        <w:t>新海石化</w:t>
      </w:r>
      <w:r>
        <w:rPr>
          <w:rFonts w:hint="eastAsia" w:ascii="仿宋" w:hAnsi="仿宋" w:eastAsia="仿宋" w:cs="仿宋"/>
          <w:color w:val="auto"/>
          <w:sz w:val="24"/>
          <w:highlight w:val="none"/>
        </w:rPr>
        <w:t>的公益事业已走入了品牌化、专业化的轨道，赢得了社会各界的纷纷喝彩，为构建和谐社会贡献力量</w:t>
      </w:r>
      <w:r>
        <w:rPr>
          <w:rFonts w:hint="eastAsia" w:ascii="仿宋" w:hAnsi="仿宋" w:cs="仿宋"/>
          <w:color w:val="auto"/>
          <w:sz w:val="24"/>
          <w:highlight w:val="none"/>
          <w:lang w:eastAsia="zh-CN"/>
        </w:rPr>
        <w:t>，获得</w:t>
      </w:r>
      <w:r>
        <w:rPr>
          <w:rFonts w:hint="eastAsia" w:ascii="仿宋" w:hAnsi="仿宋" w:eastAsia="仿宋" w:cs="仿宋"/>
          <w:color w:val="auto"/>
          <w:sz w:val="24"/>
          <w:highlight w:val="none"/>
        </w:rPr>
        <w:t>“江苏省模范劳动关系和谐企业”</w:t>
      </w:r>
      <w:r>
        <w:rPr>
          <w:rFonts w:hint="eastAsia" w:ascii="仿宋" w:hAnsi="仿宋" w:cs="仿宋"/>
          <w:color w:val="auto"/>
          <w:sz w:val="24"/>
          <w:highlight w:val="none"/>
          <w:lang w:eastAsia="zh-CN"/>
        </w:rPr>
        <w:t>称号</w:t>
      </w:r>
      <w:r>
        <w:rPr>
          <w:rFonts w:hint="eastAsia" w:ascii="仿宋" w:hAnsi="仿宋" w:eastAsia="仿宋" w:cs="仿宋"/>
          <w:color w:val="auto"/>
          <w:sz w:val="24"/>
          <w:highlight w:val="none"/>
        </w:rPr>
        <w:t>。 据不完全统计</w:t>
      </w:r>
      <w:r>
        <w:rPr>
          <w:rFonts w:hint="eastAsia" w:ascii="仿宋" w:hAnsi="仿宋" w:cs="仿宋"/>
          <w:color w:val="auto"/>
          <w:sz w:val="24"/>
          <w:highlight w:val="none"/>
          <w:lang w:eastAsia="zh-CN"/>
        </w:rPr>
        <w:t>，</w:t>
      </w:r>
      <w:r>
        <w:rPr>
          <w:rFonts w:hint="eastAsia"/>
          <w:color w:val="auto"/>
          <w:highlight w:val="none"/>
        </w:rPr>
        <w:t>近三年</w:t>
      </w:r>
      <w:r>
        <w:rPr>
          <w:rFonts w:hint="eastAsia"/>
          <w:color w:val="auto"/>
          <w:highlight w:val="none"/>
          <w:lang w:eastAsia="zh-CN"/>
        </w:rPr>
        <w:t>新海</w:t>
      </w:r>
      <w:r>
        <w:rPr>
          <w:rFonts w:hint="eastAsia"/>
          <w:color w:val="auto"/>
          <w:highlight w:val="none"/>
        </w:rPr>
        <w:t>累计投入3000余万元用于公益事业，</w:t>
      </w:r>
      <w:r>
        <w:rPr>
          <w:rFonts w:hint="eastAsia" w:ascii="仿宋" w:hAnsi="仿宋" w:cs="仿宋"/>
          <w:color w:val="auto"/>
          <w:sz w:val="24"/>
          <w:highlight w:val="none"/>
          <w:lang w:eastAsia="zh-CN"/>
        </w:rPr>
        <w:t>主要致力于</w:t>
      </w:r>
      <w:r>
        <w:rPr>
          <w:rFonts w:hint="eastAsia"/>
          <w:color w:val="auto"/>
          <w:highlight w:val="none"/>
        </w:rPr>
        <w:t>“环境改善、教育事业、慈善捐助”</w:t>
      </w:r>
      <w:r>
        <w:rPr>
          <w:rFonts w:hint="eastAsia" w:ascii="仿宋" w:hAnsi="仿宋" w:eastAsia="仿宋" w:cs="仿宋"/>
          <w:color w:val="auto"/>
          <w:sz w:val="24"/>
          <w:highlight w:val="none"/>
        </w:rPr>
        <w:t xml:space="preserve">等各方面。 </w:t>
      </w:r>
    </w:p>
    <w:p>
      <w:pPr>
        <w:keepNext w:val="0"/>
        <w:keepLines w:val="0"/>
        <w:pageBreakBefore w:val="0"/>
        <w:widowControl/>
        <w:kinsoku/>
        <w:wordWrap/>
        <w:overflowPunct/>
        <w:topLinePunct w:val="0"/>
        <w:autoSpaceDE/>
        <w:autoSpaceDN/>
        <w:bidi w:val="0"/>
        <w:adjustRightInd/>
        <w:snapToGrid/>
        <w:spacing w:line="300" w:lineRule="auto"/>
        <w:ind w:firstLine="480" w:firstLineChars="200"/>
        <w:jc w:val="left"/>
        <w:textAlignment w:val="auto"/>
        <w:rPr>
          <w:rFonts w:hint="eastAsia" w:ascii="仿宋" w:hAnsi="仿宋" w:eastAsia="仿宋" w:cs="仿宋"/>
          <w:sz w:val="24"/>
          <w:highlight w:val="none"/>
        </w:rPr>
      </w:pPr>
      <w:r>
        <w:rPr>
          <w:rFonts w:hint="eastAsia" w:ascii="仿宋" w:hAnsi="仿宋" w:eastAsia="仿宋" w:cs="仿宋"/>
          <w:color w:val="auto"/>
          <w:sz w:val="24"/>
          <w:highlight w:val="none"/>
        </w:rPr>
        <w:t>绿色低碳，创造环境和谐价值</w:t>
      </w:r>
      <w:r>
        <w:rPr>
          <w:rFonts w:hint="eastAsia" w:ascii="仿宋" w:hAnsi="仿宋" w:cs="仿宋"/>
          <w:color w:val="auto"/>
          <w:sz w:val="24"/>
          <w:highlight w:val="none"/>
          <w:lang w:eastAsia="zh-CN"/>
        </w:rPr>
        <w:t>。</w:t>
      </w:r>
      <w:r>
        <w:rPr>
          <w:rFonts w:hint="eastAsia" w:ascii="仿宋" w:hAnsi="仿宋" w:cs="仿宋"/>
          <w:sz w:val="24"/>
          <w:highlight w:val="none"/>
          <w:lang w:eastAsia="zh-CN"/>
        </w:rPr>
        <w:t>新海</w:t>
      </w:r>
      <w:r>
        <w:rPr>
          <w:rFonts w:hint="eastAsia" w:ascii="仿宋" w:hAnsi="仿宋" w:eastAsia="仿宋" w:cs="仿宋"/>
          <w:sz w:val="24"/>
          <w:highlight w:val="none"/>
        </w:rPr>
        <w:t>在绿色办公、減少能耗、低碳出行、节水措施、节材措施、垃圾管理、人文低碳等方面予以侧重，从实际行动上切实提升公司全员的环保意识，</w:t>
      </w:r>
      <w:r>
        <w:rPr>
          <w:rFonts w:hint="eastAsia" w:ascii="仿宋" w:hAnsi="仿宋" w:cs="仿宋"/>
          <w:sz w:val="24"/>
          <w:highlight w:val="none"/>
          <w:lang w:eastAsia="zh-CN"/>
        </w:rPr>
        <w:t>获得</w:t>
      </w:r>
      <w:r>
        <w:rPr>
          <w:rFonts w:hint="eastAsia" w:ascii="仿宋" w:hAnsi="仿宋" w:eastAsia="仿宋" w:cs="仿宋"/>
          <w:sz w:val="24"/>
          <w:highlight w:val="none"/>
        </w:rPr>
        <w:t>“全国首批国家级绿色示范工厂”</w:t>
      </w:r>
      <w:r>
        <w:rPr>
          <w:rFonts w:hint="eastAsia" w:ascii="仿宋" w:hAnsi="仿宋" w:cs="仿宋"/>
          <w:sz w:val="24"/>
          <w:highlight w:val="none"/>
          <w:lang w:eastAsia="zh-CN"/>
        </w:rPr>
        <w:t>的荣誉称号</w:t>
      </w:r>
      <w:r>
        <w:rPr>
          <w:rFonts w:hint="eastAsia" w:ascii="仿宋" w:hAnsi="仿宋" w:eastAsia="仿宋" w:cs="仿宋"/>
          <w:sz w:val="24"/>
          <w:highlight w:val="none"/>
        </w:rPr>
        <w:t>。</w:t>
      </w:r>
    </w:p>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highlight w:val="none"/>
        </w:rPr>
      </w:pPr>
      <w:r>
        <w:rPr>
          <w:rFonts w:hint="eastAsia"/>
          <w:highlight w:val="none"/>
        </w:rPr>
        <w:t>公司</w:t>
      </w:r>
      <w:r>
        <w:rPr>
          <w:rFonts w:hint="eastAsia"/>
          <w:highlight w:val="none"/>
          <w:lang w:eastAsia="zh-CN"/>
        </w:rPr>
        <w:t>将持续围绕</w:t>
      </w:r>
      <w:r>
        <w:rPr>
          <w:rFonts w:hint="eastAsia"/>
          <w:highlight w:val="none"/>
        </w:rPr>
        <w:t>“</w:t>
      </w:r>
      <w:r>
        <w:rPr>
          <w:rFonts w:hint="eastAsia"/>
          <w:highlight w:val="none"/>
          <w:lang w:val="en-US" w:eastAsia="zh-CN"/>
        </w:rPr>
        <w:t>打造社会认可，政府青睐，股东满意，员工自豪，相关方赞佩的大型现代化能源化工企业集团。</w:t>
      </w:r>
      <w:r>
        <w:rPr>
          <w:rFonts w:hint="eastAsia"/>
          <w:highlight w:val="none"/>
        </w:rPr>
        <w:t>”</w:t>
      </w:r>
      <w:r>
        <w:rPr>
          <w:rFonts w:hint="eastAsia"/>
          <w:highlight w:val="none"/>
          <w:lang w:eastAsia="zh-CN"/>
        </w:rPr>
        <w:t>的企业愿景和</w:t>
      </w:r>
      <w:r>
        <w:rPr>
          <w:rFonts w:hint="eastAsia"/>
          <w:highlight w:val="none"/>
        </w:rPr>
        <w:t>“</w:t>
      </w:r>
      <w:r>
        <w:rPr>
          <w:rFonts w:hint="eastAsia"/>
          <w:highlight w:val="none"/>
          <w:lang w:eastAsia="zh-CN"/>
        </w:rPr>
        <w:t>爱我中华</w:t>
      </w:r>
      <w:r>
        <w:rPr>
          <w:rFonts w:hint="eastAsia"/>
          <w:highlight w:val="none"/>
        </w:rPr>
        <w:t>，振</w:t>
      </w:r>
      <w:r>
        <w:rPr>
          <w:rFonts w:hint="eastAsia"/>
          <w:highlight w:val="none"/>
          <w:lang w:eastAsia="zh-CN"/>
        </w:rPr>
        <w:t>兴</w:t>
      </w:r>
      <w:r>
        <w:rPr>
          <w:rFonts w:hint="eastAsia"/>
          <w:highlight w:val="none"/>
        </w:rPr>
        <w:t>石化，</w:t>
      </w:r>
      <w:r>
        <w:rPr>
          <w:rFonts w:hint="eastAsia"/>
          <w:highlight w:val="none"/>
          <w:lang w:eastAsia="zh-CN"/>
        </w:rPr>
        <w:t>为</w:t>
      </w:r>
      <w:r>
        <w:rPr>
          <w:rFonts w:hint="eastAsia"/>
          <w:highlight w:val="none"/>
        </w:rPr>
        <w:t>美好生活加油”的初心和使命，</w:t>
      </w:r>
      <w:r>
        <w:rPr>
          <w:rFonts w:hint="eastAsia"/>
          <w:highlight w:val="none"/>
          <w:lang w:eastAsia="zh-CN"/>
        </w:rPr>
        <w:t>坚持</w:t>
      </w:r>
      <w:r>
        <w:rPr>
          <w:rFonts w:hint="eastAsia"/>
          <w:highlight w:val="none"/>
        </w:rPr>
        <w:t>“向先</w:t>
      </w:r>
      <w:r>
        <w:rPr>
          <w:rFonts w:hint="eastAsia"/>
          <w:highlight w:val="none"/>
          <w:lang w:eastAsia="zh-CN"/>
        </w:rPr>
        <w:t>进水平挑战</w:t>
      </w:r>
      <w:r>
        <w:rPr>
          <w:rFonts w:hint="eastAsia"/>
          <w:highlight w:val="none"/>
        </w:rPr>
        <w:t>，向最高</w:t>
      </w:r>
      <w:r>
        <w:rPr>
          <w:rFonts w:hint="eastAsia"/>
          <w:highlight w:val="none"/>
          <w:lang w:eastAsia="zh-CN"/>
        </w:rPr>
        <w:t>标准看齐</w:t>
      </w:r>
      <w:r>
        <w:rPr>
          <w:rFonts w:hint="eastAsia"/>
          <w:highlight w:val="none"/>
        </w:rPr>
        <w:t>”的工作理念，以改革</w:t>
      </w:r>
      <w:r>
        <w:rPr>
          <w:rFonts w:hint="eastAsia"/>
          <w:highlight w:val="none"/>
          <w:lang w:eastAsia="zh-CN"/>
        </w:rPr>
        <w:t>开</w:t>
      </w:r>
      <w:r>
        <w:rPr>
          <w:rFonts w:hint="eastAsia"/>
          <w:highlight w:val="none"/>
        </w:rPr>
        <w:t>放再出</w:t>
      </w:r>
      <w:r>
        <w:rPr>
          <w:rFonts w:hint="eastAsia"/>
          <w:highlight w:val="none"/>
          <w:lang w:eastAsia="zh-CN"/>
        </w:rPr>
        <w:t>发</w:t>
      </w:r>
      <w:r>
        <w:rPr>
          <w:rFonts w:hint="eastAsia"/>
          <w:highlight w:val="none"/>
        </w:rPr>
        <w:t>的</w:t>
      </w:r>
      <w:r>
        <w:rPr>
          <w:rFonts w:hint="eastAsia"/>
          <w:highlight w:val="none"/>
          <w:lang w:eastAsia="zh-CN"/>
        </w:rPr>
        <w:t>决心和勇气</w:t>
      </w:r>
      <w:r>
        <w:rPr>
          <w:rFonts w:hint="eastAsia"/>
          <w:highlight w:val="none"/>
        </w:rPr>
        <w:t>，在高</w:t>
      </w:r>
      <w:r>
        <w:rPr>
          <w:rFonts w:hint="eastAsia"/>
          <w:highlight w:val="none"/>
          <w:lang w:eastAsia="zh-CN"/>
        </w:rPr>
        <w:t>质量发展</w:t>
      </w:r>
      <w:r>
        <w:rPr>
          <w:rFonts w:hint="eastAsia"/>
          <w:highlight w:val="none"/>
        </w:rPr>
        <w:t>的道路上，做努力奔跑的追</w:t>
      </w:r>
      <w:r>
        <w:rPr>
          <w:rFonts w:hint="eastAsia"/>
          <w:highlight w:val="none"/>
          <w:lang w:eastAsia="zh-CN"/>
        </w:rPr>
        <w:t>梦</w:t>
      </w:r>
      <w:r>
        <w:rPr>
          <w:rFonts w:hint="eastAsia"/>
          <w:highlight w:val="none"/>
        </w:rPr>
        <w:t>人！</w:t>
      </w:r>
    </w:p>
    <w:p>
      <w:pPr>
        <w:pStyle w:val="20"/>
        <w:widowControl/>
        <w:spacing w:before="0" w:beforeAutospacing="0" w:after="0" w:afterAutospacing="0"/>
        <w:ind w:firstLine="480" w:firstLineChars="200"/>
        <w:rPr>
          <w:rFonts w:hint="eastAsia" w:ascii="仿宋" w:hAnsi="仿宋" w:eastAsia="仿宋" w:cs="仿宋"/>
          <w:color w:val="000000"/>
          <w:highlight w:val="none"/>
          <w:lang w:eastAsia="zh-CN"/>
        </w:rPr>
      </w:pPr>
      <w:r>
        <w:rPr>
          <w:rFonts w:hint="eastAsia" w:ascii="仿宋" w:hAnsi="仿宋" w:eastAsia="仿宋" w:cs="仿宋"/>
          <w:color w:val="000000"/>
          <w:highlight w:val="none"/>
        </w:rPr>
        <w:t xml:space="preserve">                                                 </w:t>
      </w:r>
      <w:r>
        <w:rPr>
          <w:rFonts w:hint="eastAsia" w:ascii="仿宋" w:hAnsi="仿宋" w:eastAsia="仿宋" w:cs="仿宋"/>
          <w:color w:val="000000"/>
          <w:highlight w:val="none"/>
          <w:lang w:eastAsia="zh-CN"/>
        </w:rPr>
        <w:t>工会主席</w:t>
      </w:r>
      <w:r>
        <w:rPr>
          <w:rFonts w:hint="eastAsia" w:ascii="仿宋" w:hAnsi="仿宋" w:eastAsia="仿宋" w:cs="仿宋"/>
          <w:color w:val="000000"/>
          <w:highlight w:val="none"/>
        </w:rPr>
        <w:t>：</w:t>
      </w:r>
      <w:r>
        <w:rPr>
          <w:rFonts w:hint="eastAsia" w:ascii="仿宋" w:hAnsi="仿宋" w:eastAsia="仿宋" w:cs="仿宋"/>
          <w:color w:val="000000"/>
          <w:highlight w:val="none"/>
          <w:lang w:eastAsia="zh-CN"/>
        </w:rPr>
        <w:t>孙春杰</w:t>
      </w:r>
    </w:p>
    <w:p>
      <w:pPr>
        <w:pStyle w:val="20"/>
        <w:widowControl/>
        <w:spacing w:before="0" w:beforeAutospacing="0" w:after="0" w:afterAutospacing="0"/>
        <w:ind w:firstLine="480" w:firstLineChars="200"/>
        <w:rPr>
          <w:rFonts w:hint="eastAsia" w:ascii="仿宋" w:hAnsi="仿宋" w:eastAsia="仿宋" w:cs="仿宋"/>
          <w:color w:val="000000"/>
          <w:highlight w:val="none"/>
        </w:rPr>
      </w:pPr>
      <w:r>
        <w:rPr>
          <w:rFonts w:hint="eastAsia" w:ascii="仿宋" w:hAnsi="仿宋" w:eastAsia="仿宋" w:cs="仿宋"/>
          <w:color w:val="000000"/>
          <w:highlight w:val="none"/>
        </w:rPr>
        <w:t xml:space="preserve">                                                 20</w:t>
      </w:r>
      <w:r>
        <w:rPr>
          <w:rFonts w:hint="eastAsia" w:ascii="仿宋" w:hAnsi="仿宋" w:eastAsia="仿宋" w:cs="仿宋"/>
          <w:color w:val="000000"/>
          <w:highlight w:val="none"/>
          <w:lang w:val="en-US" w:eastAsia="zh-CN"/>
        </w:rPr>
        <w:t>20</w:t>
      </w:r>
      <w:r>
        <w:rPr>
          <w:rFonts w:hint="eastAsia" w:ascii="仿宋" w:hAnsi="仿宋" w:eastAsia="仿宋" w:cs="仿宋"/>
          <w:color w:val="000000"/>
          <w:highlight w:val="none"/>
        </w:rPr>
        <w:t>年</w:t>
      </w:r>
      <w:r>
        <w:rPr>
          <w:rFonts w:hint="eastAsia" w:ascii="仿宋" w:hAnsi="仿宋" w:eastAsia="仿宋" w:cs="仿宋"/>
          <w:color w:val="000000"/>
          <w:highlight w:val="none"/>
          <w:lang w:val="en-US" w:eastAsia="zh-CN"/>
        </w:rPr>
        <w:t>1</w:t>
      </w:r>
      <w:r>
        <w:rPr>
          <w:rFonts w:hint="eastAsia" w:ascii="仿宋" w:hAnsi="仿宋" w:eastAsia="仿宋" w:cs="仿宋"/>
          <w:color w:val="000000"/>
          <w:highlight w:val="none"/>
        </w:rPr>
        <w:t>月</w:t>
      </w:r>
      <w:r>
        <w:rPr>
          <w:rFonts w:hint="eastAsia" w:ascii="仿宋" w:hAnsi="仿宋" w:eastAsia="仿宋" w:cs="仿宋"/>
          <w:color w:val="000000"/>
          <w:highlight w:val="none"/>
          <w:lang w:val="en-US" w:eastAsia="zh-CN"/>
        </w:rPr>
        <w:t>1</w:t>
      </w:r>
      <w:r>
        <w:rPr>
          <w:rFonts w:hint="eastAsia" w:ascii="仿宋" w:hAnsi="仿宋" w:eastAsia="仿宋" w:cs="仿宋"/>
          <w:color w:val="000000"/>
          <w:highlight w:val="none"/>
        </w:rPr>
        <w:t>日</w:t>
      </w:r>
    </w:p>
    <w:bookmarkEnd w:id="0"/>
    <w:bookmarkEnd w:id="1"/>
    <w:bookmarkEnd w:id="2"/>
    <w:bookmarkEnd w:id="3"/>
    <w:p>
      <w:pPr>
        <w:pStyle w:val="6"/>
        <w:keepNext/>
        <w:keepLines/>
        <w:pageBreakBefore w:val="0"/>
        <w:widowControl w:val="0"/>
        <w:kinsoku/>
        <w:wordWrap/>
        <w:overflowPunct/>
        <w:topLinePunct w:val="0"/>
        <w:autoSpaceDE/>
        <w:autoSpaceDN/>
        <w:bidi w:val="0"/>
        <w:adjustRightInd/>
        <w:snapToGrid/>
        <w:textAlignment w:val="auto"/>
        <w:outlineLvl w:val="0"/>
        <w:rPr>
          <w:rFonts w:hint="eastAsia"/>
          <w:sz w:val="28"/>
          <w:szCs w:val="28"/>
          <w:highlight w:val="none"/>
        </w:rPr>
      </w:pPr>
      <w:bookmarkStart w:id="14" w:name="_Toc342838734"/>
      <w:bookmarkStart w:id="15" w:name="_Toc15824"/>
      <w:bookmarkStart w:id="16" w:name="_Toc20914"/>
      <w:bookmarkStart w:id="17" w:name="_Toc30904"/>
      <w:r>
        <w:rPr>
          <w:rFonts w:hint="eastAsia"/>
          <w:sz w:val="28"/>
          <w:szCs w:val="28"/>
          <w:highlight w:val="none"/>
          <w:lang w:eastAsia="zh-CN"/>
        </w:rPr>
        <w:t>四、</w:t>
      </w:r>
      <w:r>
        <w:rPr>
          <w:rFonts w:hint="eastAsia"/>
          <w:sz w:val="28"/>
          <w:szCs w:val="28"/>
          <w:highlight w:val="none"/>
        </w:rPr>
        <w:t>公共</w:t>
      </w:r>
      <w:r>
        <w:rPr>
          <w:rFonts w:hint="eastAsia"/>
          <w:sz w:val="28"/>
          <w:szCs w:val="28"/>
          <w:highlight w:val="none"/>
          <w:lang w:eastAsia="zh-CN"/>
        </w:rPr>
        <w:t>安全</w:t>
      </w:r>
      <w:r>
        <w:rPr>
          <w:rFonts w:hint="eastAsia"/>
          <w:sz w:val="28"/>
          <w:szCs w:val="28"/>
          <w:highlight w:val="none"/>
        </w:rPr>
        <w:t>责任</w:t>
      </w:r>
      <w:bookmarkEnd w:id="14"/>
      <w:bookmarkEnd w:id="15"/>
      <w:bookmarkEnd w:id="16"/>
      <w:bookmarkEnd w:id="17"/>
    </w:p>
    <w:p>
      <w:pPr>
        <w:pStyle w:val="7"/>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highlight w:val="none"/>
        </w:rPr>
      </w:pPr>
      <w:r>
        <w:rPr>
          <w:rFonts w:hint="eastAsia"/>
          <w:highlight w:val="none"/>
        </w:rPr>
        <w:t>1</w:t>
      </w:r>
      <w:r>
        <w:rPr>
          <w:rFonts w:hint="eastAsia"/>
          <w:highlight w:val="none"/>
          <w:lang w:eastAsia="zh-CN"/>
        </w:rPr>
        <w:t>、</w:t>
      </w:r>
      <w:r>
        <w:rPr>
          <w:rFonts w:hint="eastAsia"/>
          <w:highlight w:val="none"/>
        </w:rPr>
        <w:t>建立安全、环境和健康体系</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公司2009年建立并通过了环境管理体系、职业健康安全管理体系、质量管理体系</w:t>
      </w:r>
      <w:r>
        <w:rPr>
          <w:rFonts w:hint="eastAsia"/>
          <w:highlight w:val="none"/>
          <w:lang w:eastAsia="zh-CN"/>
        </w:rPr>
        <w:t>，</w:t>
      </w:r>
      <w:r>
        <w:rPr>
          <w:rFonts w:hint="eastAsia"/>
          <w:highlight w:val="none"/>
          <w:lang w:val="en-US" w:eastAsia="zh-CN"/>
        </w:rPr>
        <w:t>2015年建立并通过了</w:t>
      </w:r>
      <w:r>
        <w:rPr>
          <w:rFonts w:hint="eastAsia"/>
          <w:highlight w:val="none"/>
        </w:rPr>
        <w:t>能源管理体系认证，公司高度重视公共责任，认真识别生产过程中环境、职业健康影响因素，贯彻环境保护法、大气污染防治法、安全生产法、消防法等相关法律法规，按照“规范环境管理、满足法规要求、排放达标受控、持续节能降耗”的工作方针，以PDCA循环为手段，通过实施对安全和环境的危害辨识、风险评价，落实环境因素识别与评价控制程序、环境运行控制程序、环境监测与测量控制程序、危险源辨识与风险评价控制程序、运行控制程序、监视和测量控制程序等，实现环保、职业健康目标。严格按照《环境保护法》、《安全生产法》等有关法律法规，制订公司《安全环保制度》等制度；落实“安全第一、预防为主”的方针和“谁主管、谁负责”的原则，与各部门一把手签订安全生产目标管理责任书，预防和控制各类安全事故的发生。</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公司自2009年通过了环境管理体系、职业健康安全管理体系、质量管理体系</w:t>
      </w:r>
      <w:r>
        <w:rPr>
          <w:rFonts w:hint="eastAsia"/>
          <w:highlight w:val="none"/>
          <w:lang w:eastAsia="zh-CN"/>
        </w:rPr>
        <w:t>，</w:t>
      </w:r>
      <w:r>
        <w:rPr>
          <w:rFonts w:hint="eastAsia"/>
          <w:highlight w:val="none"/>
          <w:lang w:val="en-US" w:eastAsia="zh-CN"/>
        </w:rPr>
        <w:t>2015年通过了</w:t>
      </w:r>
      <w:r>
        <w:rPr>
          <w:rFonts w:hint="eastAsia"/>
          <w:highlight w:val="none"/>
        </w:rPr>
        <w:t>能源管理体系认证，识别和评估与运营相关的在质量、环境保护、能源消耗、资源综合利用、安全生产、公共卫生等方面的负面影响和风险，通过现场调查、LEC法、多因子打分法、专家经验法、是否判断法等确定了其中重大影响和风险。见表4.1-1。</w:t>
      </w:r>
    </w:p>
    <w:p>
      <w:pPr>
        <w:widowControl w:val="0"/>
        <w:bidi w:val="0"/>
        <w:spacing w:before="50" w:beforeLines="50" w:line="240" w:lineRule="auto"/>
        <w:ind w:firstLine="0" w:firstLineChars="0"/>
        <w:jc w:val="center"/>
        <w:rPr>
          <w:rFonts w:hint="eastAsia" w:asciiTheme="majorEastAsia" w:hAnsiTheme="majorEastAsia" w:eastAsiaTheme="majorEastAsia" w:cstheme="majorEastAsia"/>
          <w:b/>
          <w:kern w:val="2"/>
          <w:sz w:val="21"/>
          <w:szCs w:val="24"/>
          <w:highlight w:val="none"/>
          <w:lang w:val="en-US" w:eastAsia="zh-CN" w:bidi="ar-SA"/>
        </w:rPr>
      </w:pPr>
      <w:r>
        <w:rPr>
          <w:rFonts w:hint="eastAsia" w:asciiTheme="majorEastAsia" w:hAnsiTheme="majorEastAsia" w:eastAsiaTheme="majorEastAsia" w:cstheme="majorEastAsia"/>
          <w:b/>
          <w:kern w:val="2"/>
          <w:sz w:val="21"/>
          <w:szCs w:val="24"/>
          <w:highlight w:val="none"/>
          <w:lang w:val="en-US" w:eastAsia="zh-CN" w:bidi="ar-SA"/>
        </w:rPr>
        <w:t>表4.1-1公司在公共责任方面的控制方法</w:t>
      </w:r>
    </w:p>
    <w:tbl>
      <w:tblPr>
        <w:tblStyle w:val="21"/>
        <w:tblW w:w="8522" w:type="dxa"/>
        <w:tblInd w:w="0" w:type="dxa"/>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shd w:val="clear" w:color="auto" w:fill="FFFFFF" w:themeFill="background1"/>
        <w:tblLayout w:type="fixed"/>
        <w:tblCellMar>
          <w:top w:w="0" w:type="dxa"/>
          <w:left w:w="108" w:type="dxa"/>
          <w:bottom w:w="0" w:type="dxa"/>
          <w:right w:w="108" w:type="dxa"/>
        </w:tblCellMar>
      </w:tblPr>
      <w:tblGrid>
        <w:gridCol w:w="1105"/>
        <w:gridCol w:w="1130"/>
        <w:gridCol w:w="1633"/>
        <w:gridCol w:w="1996"/>
        <w:gridCol w:w="2658"/>
      </w:tblGrid>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shd w:val="clear" w:color="auto" w:fill="FFFFFF" w:themeFill="background1"/>
          <w:tblCellMar>
            <w:top w:w="0" w:type="dxa"/>
            <w:left w:w="108" w:type="dxa"/>
            <w:bottom w:w="0" w:type="dxa"/>
            <w:right w:w="108" w:type="dxa"/>
          </w:tblCellMar>
        </w:tblPrEx>
        <w:trPr>
          <w:trHeight w:val="397" w:hRule="atLeast"/>
          <w:tblHeader/>
        </w:trPr>
        <w:tc>
          <w:tcPr>
            <w:tcW w:w="1105"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lang w:val="zh-CN"/>
              </w:rPr>
            </w:pPr>
            <w:r>
              <w:rPr>
                <w:rFonts w:hint="eastAsia"/>
                <w:b/>
                <w:bCs/>
                <w:highlight w:val="none"/>
                <w:lang w:val="zh-CN"/>
              </w:rPr>
              <w:t>责任重点</w:t>
            </w:r>
          </w:p>
        </w:tc>
        <w:tc>
          <w:tcPr>
            <w:tcW w:w="1130"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lang w:val="zh-CN"/>
              </w:rPr>
            </w:pPr>
            <w:r>
              <w:rPr>
                <w:rFonts w:hint="eastAsia"/>
                <w:b/>
                <w:bCs/>
                <w:highlight w:val="none"/>
                <w:lang w:val="zh-CN"/>
              </w:rPr>
              <w:t>控制项目</w:t>
            </w:r>
          </w:p>
        </w:tc>
        <w:tc>
          <w:tcPr>
            <w:tcW w:w="1633"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lang w:val="zh-CN"/>
              </w:rPr>
            </w:pPr>
            <w:r>
              <w:rPr>
                <w:rFonts w:hint="eastAsia"/>
                <w:b/>
                <w:bCs/>
                <w:highlight w:val="none"/>
                <w:lang w:val="zh-CN"/>
              </w:rPr>
              <w:t>相关风险识别</w:t>
            </w:r>
          </w:p>
        </w:tc>
        <w:tc>
          <w:tcPr>
            <w:tcW w:w="1996"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lang w:val="zh-CN"/>
              </w:rPr>
            </w:pPr>
            <w:r>
              <w:rPr>
                <w:rFonts w:hint="eastAsia"/>
                <w:b/>
                <w:bCs/>
                <w:highlight w:val="none"/>
                <w:lang w:val="zh-CN"/>
              </w:rPr>
              <w:t>控制指标</w:t>
            </w:r>
          </w:p>
        </w:tc>
        <w:tc>
          <w:tcPr>
            <w:tcW w:w="2658"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lang w:val="zh-CN"/>
              </w:rPr>
            </w:pPr>
            <w:r>
              <w:rPr>
                <w:rFonts w:hint="eastAsia"/>
                <w:b/>
                <w:bCs/>
                <w:highlight w:val="none"/>
                <w:lang w:val="zh-CN"/>
              </w:rPr>
              <w:t>控制方法</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vMerge w:val="restart"/>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环境保护</w:t>
            </w: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污水</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环境污染</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6≤PH≤9</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化学需氧量≤500m/l</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悬浮物≤400m/l</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定期检测指标</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vMerge w:val="continue"/>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厂界噪声</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噪声污染</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等效声级测量≤60 dB</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定期检测指标</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vMerge w:val="continue"/>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废弃物</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土壤污染</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危险废弃物100%定点回收处理</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制定《固体废弃物管理办法》，分类、专人管理、定点处置。</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资源保护</w:t>
            </w: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水/电/能源</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能源消耗</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万元产值综合消耗同比下降0.3%</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采用节能设备，以及安装自动节能装置，并制定《水电节约管理办法》</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安全生产</w:t>
            </w: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潜在隐患</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火灾/重大事故</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重伤、死亡事故＝0</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定期维护和保养设备，制定应急预案，并组织演习。</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产品安全</w:t>
            </w: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含有害物质</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人身健康/土壤污染</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产品符合ROHS指标率=100%</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采购环保物料，权威机构检测（SGS）</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vMerge w:val="restart"/>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公共卫生</w:t>
            </w: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有毒烟尘</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人身健康</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浓度限值要求&lt;0.09mg/m³</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定期检测指标</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排风管定期检查，保养。</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rPr>
        <w:tc>
          <w:tcPr>
            <w:tcW w:w="1105" w:type="dxa"/>
            <w:vMerge w:val="continue"/>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1130"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危险化学品/有毒烟尘</w:t>
            </w:r>
          </w:p>
        </w:tc>
        <w:tc>
          <w:tcPr>
            <w:tcW w:w="1633"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人身健康</w:t>
            </w:r>
          </w:p>
        </w:tc>
        <w:tc>
          <w:tcPr>
            <w:tcW w:w="1996"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职业病发病数=0</w:t>
            </w:r>
          </w:p>
        </w:tc>
        <w:tc>
          <w:tcPr>
            <w:tcW w:w="2658" w:type="dxa"/>
            <w:tcBorders>
              <w:tl2br w:val="nil"/>
              <w:tr2bl w:val="nil"/>
            </w:tcBorders>
            <w:shd w:val="clear" w:color="auto" w:fill="FFFFFF" w:themeFill="background1"/>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定期进行员工体检，发放劳保用品，工作环境定期监测</w:t>
            </w:r>
          </w:p>
        </w:tc>
      </w:tr>
    </w:tbl>
    <w:p>
      <w:pPr>
        <w:pStyle w:val="7"/>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highlight w:val="none"/>
        </w:rPr>
      </w:pPr>
      <w:r>
        <w:rPr>
          <w:rFonts w:hint="eastAsia"/>
          <w:highlight w:val="none"/>
        </w:rPr>
        <w:t>2</w:t>
      </w:r>
      <w:r>
        <w:rPr>
          <w:rFonts w:hint="eastAsia"/>
          <w:highlight w:val="none"/>
          <w:lang w:eastAsia="zh-CN"/>
        </w:rPr>
        <w:t>、</w:t>
      </w:r>
      <w:r>
        <w:rPr>
          <w:rFonts w:hint="eastAsia"/>
          <w:highlight w:val="none"/>
        </w:rPr>
        <w:t>识别隐忧并加以主动预防</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公司通过积极主动地走访顾客、社区和政府主管部门、法律法规的学习、现场听取员工意见方法确定公众的隐忧，研究对策并预先做出应对准备。</w:t>
      </w:r>
    </w:p>
    <w:p>
      <w:pPr>
        <w:pageBreakBefore w:val="0"/>
        <w:widowControl w:val="0"/>
        <w:kinsoku/>
        <w:wordWrap/>
        <w:overflowPunct/>
        <w:topLinePunct w:val="0"/>
        <w:autoSpaceDE/>
        <w:autoSpaceDN/>
        <w:bidi w:val="0"/>
        <w:adjustRightInd/>
        <w:snapToGrid/>
        <w:spacing w:line="300" w:lineRule="auto"/>
        <w:textAlignment w:val="auto"/>
        <w:rPr>
          <w:rFonts w:hint="eastAsia"/>
          <w:sz w:val="21"/>
          <w:szCs w:val="21"/>
          <w:highlight w:val="none"/>
        </w:rPr>
      </w:pPr>
      <w:r>
        <w:rPr>
          <w:rFonts w:hint="eastAsia"/>
          <w:highlight w:val="none"/>
          <w:lang w:eastAsia="zh-CN"/>
        </w:rPr>
        <w:t>新海石化</w:t>
      </w:r>
      <w:r>
        <w:rPr>
          <w:rFonts w:hint="eastAsia"/>
          <w:highlight w:val="none"/>
        </w:rPr>
        <w:t>建厂以来，一直坚持环保方面的高标准建设和运行，先后投入3.5亿元建设了300吨/小时污水处理厂、2万吨/年硫磺回收、60吨/时酸性水汽提、80吨/时酸性水汽提、2万方气柜、尾气加氢等多套环保装置，废水、废气排放均达到国家一级排放标准、固体废弃物均得到妥善处理。</w:t>
      </w:r>
      <w:r>
        <w:rPr>
          <w:rFonts w:hint="eastAsia"/>
          <w:highlight w:val="none"/>
          <w:lang w:eastAsia="zh-CN"/>
        </w:rPr>
        <w:t>与此同时</w:t>
      </w:r>
      <w:r>
        <w:rPr>
          <w:rFonts w:hint="eastAsia"/>
          <w:highlight w:val="none"/>
        </w:rPr>
        <w:t>，公司每年都要加大环保投资，实现环保升级。2015年公司投资7000多万，引进美国先进的脱硫技术对120万吨/年催化裂化装置进行综合脱硫，脱硫率高达90%。公司投资300万元对污水处理场无组织废气进行收集处理，大大改善了周围环境。也成为连云港市安全、环保等多项管理标杆企业，也在当地民众心中树立了良好形象。见表4.</w:t>
      </w:r>
      <w:r>
        <w:rPr>
          <w:rFonts w:hint="eastAsia"/>
          <w:highlight w:val="none"/>
          <w:lang w:val="en-US" w:eastAsia="zh-CN"/>
        </w:rPr>
        <w:t>2</w:t>
      </w:r>
      <w:r>
        <w:rPr>
          <w:rFonts w:hint="eastAsia"/>
          <w:highlight w:val="none"/>
        </w:rPr>
        <w:t>-1。</w:t>
      </w:r>
    </w:p>
    <w:p>
      <w:pPr>
        <w:widowControl w:val="0"/>
        <w:bidi w:val="0"/>
        <w:spacing w:before="50" w:beforeLines="50" w:line="240" w:lineRule="auto"/>
        <w:ind w:firstLine="0" w:firstLineChars="0"/>
        <w:jc w:val="center"/>
        <w:rPr>
          <w:rFonts w:hint="eastAsia" w:asciiTheme="majorEastAsia" w:hAnsiTheme="majorEastAsia" w:eastAsiaTheme="majorEastAsia" w:cstheme="majorEastAsia"/>
          <w:b/>
          <w:kern w:val="2"/>
          <w:sz w:val="21"/>
          <w:szCs w:val="21"/>
          <w:highlight w:val="none"/>
          <w:lang w:val="en-US" w:eastAsia="zh-CN" w:bidi="ar-SA"/>
        </w:rPr>
      </w:pPr>
      <w:r>
        <w:rPr>
          <w:rFonts w:hint="eastAsia" w:asciiTheme="majorEastAsia" w:hAnsiTheme="majorEastAsia" w:eastAsiaTheme="majorEastAsia" w:cstheme="majorEastAsia"/>
          <w:b/>
          <w:kern w:val="2"/>
          <w:sz w:val="21"/>
          <w:szCs w:val="21"/>
          <w:highlight w:val="none"/>
          <w:lang w:val="en-US" w:eastAsia="zh-CN" w:bidi="ar-SA"/>
        </w:rPr>
        <w:t>表4.2-1预见和应对公众隐忧措施</w:t>
      </w:r>
    </w:p>
    <w:tbl>
      <w:tblPr>
        <w:tblStyle w:val="21"/>
        <w:tblW w:w="8522" w:type="dxa"/>
        <w:jc w:val="center"/>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Layout w:type="fixed"/>
        <w:tblCellMar>
          <w:top w:w="0" w:type="dxa"/>
          <w:left w:w="108" w:type="dxa"/>
          <w:bottom w:w="0" w:type="dxa"/>
          <w:right w:w="108" w:type="dxa"/>
        </w:tblCellMar>
      </w:tblPr>
      <w:tblGrid>
        <w:gridCol w:w="712"/>
        <w:gridCol w:w="1879"/>
        <w:gridCol w:w="1394"/>
        <w:gridCol w:w="4537"/>
      </w:tblGrid>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blHeader/>
          <w:jc w:val="center"/>
        </w:trPr>
        <w:tc>
          <w:tcPr>
            <w:tcW w:w="712"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类别</w:t>
            </w:r>
          </w:p>
        </w:tc>
        <w:tc>
          <w:tcPr>
            <w:tcW w:w="1879"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预见方法</w:t>
            </w:r>
          </w:p>
        </w:tc>
        <w:tc>
          <w:tcPr>
            <w:tcW w:w="1394"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隐忧</w:t>
            </w:r>
          </w:p>
        </w:tc>
        <w:tc>
          <w:tcPr>
            <w:tcW w:w="4537"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应对措施</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712"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产品安全</w:t>
            </w:r>
          </w:p>
        </w:tc>
        <w:tc>
          <w:tcPr>
            <w:tcW w:w="1879"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工艺督查</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产品检验和试验</w:t>
            </w:r>
          </w:p>
        </w:tc>
        <w:tc>
          <w:tcPr>
            <w:tcW w:w="1394"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性能指标不达标</w:t>
            </w:r>
          </w:p>
        </w:tc>
        <w:tc>
          <w:tcPr>
            <w:tcW w:w="4537" w:type="dxa"/>
            <w:tcBorders>
              <w:tl2br w:val="nil"/>
              <w:tr2bl w:val="nil"/>
            </w:tcBorders>
          </w:tcPr>
          <w:p>
            <w:pPr>
              <w:pStyle w:val="29"/>
              <w:keepNext w:val="0"/>
              <w:keepLines w:val="0"/>
              <w:suppressLineNumbers w:val="0"/>
              <w:bidi w:val="0"/>
              <w:spacing w:before="0" w:beforeAutospacing="0" w:after="0" w:afterAutospacing="0"/>
              <w:ind w:left="0" w:right="0"/>
              <w:jc w:val="left"/>
              <w:rPr>
                <w:rFonts w:hint="eastAsia"/>
                <w:highlight w:val="none"/>
              </w:rPr>
            </w:pPr>
            <w:r>
              <w:rPr>
                <w:rFonts w:hint="eastAsia"/>
                <w:highlight w:val="none"/>
              </w:rPr>
              <w:t>制定各类标准和处理办法如：《原料油标准》《装置馏出口质量标准》、《半成品质量标准》、《付装置原材料质量标准》、《不合格品处理标准》《产品质量监督检验管理标准》、《质量责任制》</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712"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环境污染</w:t>
            </w:r>
          </w:p>
        </w:tc>
        <w:tc>
          <w:tcPr>
            <w:tcW w:w="1879"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环境影响评价</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环境因素识别和评价</w:t>
            </w:r>
          </w:p>
        </w:tc>
        <w:tc>
          <w:tcPr>
            <w:tcW w:w="1394"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污染排放不达标</w:t>
            </w:r>
          </w:p>
        </w:tc>
        <w:tc>
          <w:tcPr>
            <w:tcW w:w="4537" w:type="dxa"/>
            <w:tcBorders>
              <w:tl2br w:val="nil"/>
              <w:tr2bl w:val="nil"/>
            </w:tcBorders>
            <w:vAlign w:val="center"/>
          </w:tcPr>
          <w:p>
            <w:pPr>
              <w:pStyle w:val="29"/>
              <w:keepNext w:val="0"/>
              <w:keepLines w:val="0"/>
              <w:suppressLineNumbers w:val="0"/>
              <w:bidi w:val="0"/>
              <w:spacing w:before="0" w:beforeAutospacing="0" w:after="0" w:afterAutospacing="0"/>
              <w:ind w:left="0" w:right="0"/>
              <w:jc w:val="left"/>
              <w:rPr>
                <w:rFonts w:hint="eastAsia"/>
                <w:highlight w:val="none"/>
              </w:rPr>
            </w:pPr>
            <w:r>
              <w:rPr>
                <w:rFonts w:hint="eastAsia"/>
                <w:highlight w:val="none"/>
              </w:rPr>
              <w:t>1、制定《环境监督监测计划》对厂区各排污口进行监督检测。2、制定各项环境体系管理制度，对厂内“三废”进行有效管理。3、制定《突发环境应急预案》并定期演练，提高人员处理突发环境事故能力</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712"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能源消耗</w:t>
            </w:r>
          </w:p>
        </w:tc>
        <w:tc>
          <w:tcPr>
            <w:tcW w:w="1879"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环境影响评价</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环境因素、能源因素识别和评价</w:t>
            </w:r>
          </w:p>
        </w:tc>
        <w:tc>
          <w:tcPr>
            <w:tcW w:w="1394"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粗放式、拼资源能源消耗型发展；资源能源消耗大</w:t>
            </w:r>
          </w:p>
        </w:tc>
        <w:tc>
          <w:tcPr>
            <w:tcW w:w="4537" w:type="dxa"/>
            <w:tcBorders>
              <w:tl2br w:val="nil"/>
              <w:tr2bl w:val="nil"/>
            </w:tcBorders>
            <w:vAlign w:val="center"/>
          </w:tcPr>
          <w:p>
            <w:pPr>
              <w:pStyle w:val="29"/>
              <w:keepNext w:val="0"/>
              <w:keepLines w:val="0"/>
              <w:suppressLineNumbers w:val="0"/>
              <w:bidi w:val="0"/>
              <w:spacing w:before="0" w:beforeAutospacing="0" w:after="0" w:afterAutospacing="0"/>
              <w:ind w:left="0" w:right="0"/>
              <w:jc w:val="left"/>
              <w:rPr>
                <w:rFonts w:hint="eastAsia"/>
                <w:highlight w:val="none"/>
              </w:rPr>
            </w:pPr>
            <w:r>
              <w:rPr>
                <w:rFonts w:hint="eastAsia"/>
                <w:highlight w:val="none"/>
              </w:rPr>
              <w:t>根据GB/T23331.2012《能源管理体系要求》在公司内部建立能源管理网络，主动采用先进节能管理方法与技术，实现能源利用全过程管理，节能管理得到良好提升，能源利用效率持续提高</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712"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职业健康安全</w:t>
            </w:r>
          </w:p>
        </w:tc>
        <w:tc>
          <w:tcPr>
            <w:tcW w:w="1879"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建设项目的职业卫生评价；</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危险源辨识和风险评价</w:t>
            </w:r>
          </w:p>
        </w:tc>
        <w:tc>
          <w:tcPr>
            <w:tcW w:w="1394"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安全生产事故</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职业病例的发生</w:t>
            </w:r>
          </w:p>
        </w:tc>
        <w:tc>
          <w:tcPr>
            <w:tcW w:w="4537" w:type="dxa"/>
            <w:tcBorders>
              <w:tl2br w:val="nil"/>
              <w:tr2bl w:val="nil"/>
            </w:tcBorders>
            <w:vAlign w:val="center"/>
          </w:tcPr>
          <w:p>
            <w:pPr>
              <w:pStyle w:val="29"/>
              <w:keepNext w:val="0"/>
              <w:keepLines w:val="0"/>
              <w:suppressLineNumbers w:val="0"/>
              <w:bidi w:val="0"/>
              <w:spacing w:before="0" w:beforeAutospacing="0" w:after="0" w:afterAutospacing="0"/>
              <w:ind w:left="0" w:right="0"/>
              <w:jc w:val="left"/>
              <w:rPr>
                <w:rFonts w:hint="eastAsia"/>
                <w:highlight w:val="none"/>
              </w:rPr>
            </w:pPr>
            <w:r>
              <w:rPr>
                <w:rFonts w:hint="eastAsia"/>
                <w:highlight w:val="none"/>
              </w:rPr>
              <w:t>1、严格执行建设项目安全“三同时”和职业卫生“三同时”制度2、制定职业危害因素检测制度，并进行有效管理3、制定了《危险源辨识、风险评价和风险控制程序》并严格执行</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712"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消防安全</w:t>
            </w:r>
          </w:p>
        </w:tc>
        <w:tc>
          <w:tcPr>
            <w:tcW w:w="1879"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消防应急预案</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危化品泄漏应急预案</w:t>
            </w:r>
          </w:p>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触电应急预案</w:t>
            </w:r>
          </w:p>
        </w:tc>
        <w:tc>
          <w:tcPr>
            <w:tcW w:w="1394" w:type="dxa"/>
            <w:tcBorders>
              <w:tl2br w:val="nil"/>
              <w:tr2bl w:val="nil"/>
            </w:tcBorders>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火灾、危化品泄漏等安全事故产生</w:t>
            </w:r>
          </w:p>
        </w:tc>
        <w:tc>
          <w:tcPr>
            <w:tcW w:w="4537" w:type="dxa"/>
            <w:tcBorders>
              <w:tl2br w:val="nil"/>
              <w:tr2bl w:val="nil"/>
            </w:tcBorders>
            <w:vAlign w:val="center"/>
          </w:tcPr>
          <w:p>
            <w:pPr>
              <w:pStyle w:val="29"/>
              <w:keepNext w:val="0"/>
              <w:keepLines w:val="0"/>
              <w:suppressLineNumbers w:val="0"/>
              <w:bidi w:val="0"/>
              <w:spacing w:before="0" w:beforeAutospacing="0" w:after="0" w:afterAutospacing="0"/>
              <w:ind w:left="0" w:right="0"/>
              <w:jc w:val="left"/>
              <w:rPr>
                <w:rFonts w:hint="eastAsia"/>
                <w:highlight w:val="none"/>
              </w:rPr>
            </w:pPr>
            <w:r>
              <w:rPr>
                <w:rFonts w:hint="eastAsia"/>
                <w:highlight w:val="none"/>
              </w:rPr>
              <w:t>1、制定了事故处理和预防控制程序2、制定了应急准备和响应控制程序3、制定了关键装置及重点部位安全管理标准4、制定了消防设施与器材管理标准5、组织落实好安全隐患排查</w:t>
            </w:r>
          </w:p>
        </w:tc>
      </w:tr>
    </w:tbl>
    <w:p>
      <w:pPr>
        <w:keepNext w:val="0"/>
        <w:keepLines w:val="0"/>
        <w:pageBreakBefore w:val="0"/>
        <w:widowControl w:val="0"/>
        <w:kinsoku/>
        <w:wordWrap/>
        <w:overflowPunct/>
        <w:topLinePunct w:val="0"/>
        <w:autoSpaceDE/>
        <w:autoSpaceDN/>
        <w:bidi w:val="0"/>
        <w:adjustRightInd/>
        <w:snapToGrid/>
        <w:ind w:firstLine="640"/>
        <w:textAlignment w:val="auto"/>
        <w:rPr>
          <w:rFonts w:hint="eastAsia" w:ascii="Times New Roman" w:hAnsi="Times New Roman" w:cs="Times New Roman"/>
          <w:highlight w:val="none"/>
        </w:rPr>
      </w:pPr>
      <w:r>
        <w:rPr>
          <w:rFonts w:hint="eastAsia" w:cs="Times New Roman"/>
          <w:highlight w:val="none"/>
          <w:lang w:eastAsia="zh-CN"/>
        </w:rPr>
        <w:t>另</w:t>
      </w:r>
      <w:r>
        <w:rPr>
          <w:rFonts w:hint="eastAsia" w:ascii="Times New Roman" w:hAnsi="Times New Roman" w:cs="Times New Roman"/>
          <w:highlight w:val="none"/>
        </w:rPr>
        <w:t>外，公司每年加大环保投资，对环保设施升级改造，近年来新增环保设施见</w:t>
      </w:r>
      <w:r>
        <w:rPr>
          <w:rFonts w:hint="eastAsia" w:ascii="Times New Roman" w:hAnsi="Times New Roman" w:cs="Times New Roman"/>
          <w:highlight w:val="none"/>
          <w:lang w:eastAsia="zh-CN"/>
        </w:rPr>
        <w:t>图</w:t>
      </w:r>
      <w:r>
        <w:rPr>
          <w:rFonts w:hint="eastAsia" w:cs="Times New Roman"/>
          <w:highlight w:val="none"/>
          <w:lang w:val="en-US" w:eastAsia="zh-CN"/>
        </w:rPr>
        <w:t>4.2</w:t>
      </w:r>
      <w:r>
        <w:rPr>
          <w:rFonts w:hint="eastAsia" w:ascii="Times New Roman" w:hAnsi="Times New Roman" w:cs="Times New Roman"/>
          <w:highlight w:val="none"/>
          <w:lang w:eastAsia="zh-CN"/>
        </w:rPr>
        <w:t>-</w:t>
      </w:r>
      <w:r>
        <w:rPr>
          <w:rFonts w:hint="eastAsia" w:cs="Times New Roman"/>
          <w:highlight w:val="none"/>
          <w:lang w:val="en-US" w:eastAsia="zh-CN"/>
        </w:rPr>
        <w:t>1</w:t>
      </w:r>
      <w:r>
        <w:rPr>
          <w:rFonts w:hint="eastAsia" w:ascii="Times New Roman" w:hAnsi="Times New Roman" w:cs="Times New Roman"/>
          <w:highlight w:val="none"/>
        </w:rPr>
        <w:t>。</w:t>
      </w:r>
    </w:p>
    <w:tbl>
      <w:tblPr>
        <w:tblStyle w:val="21"/>
        <w:tblW w:w="8472" w:type="dxa"/>
        <w:tblInd w:w="0" w:type="dxa"/>
        <w:tblLayout w:type="fixed"/>
        <w:tblCellMar>
          <w:top w:w="0" w:type="dxa"/>
          <w:left w:w="108" w:type="dxa"/>
          <w:bottom w:w="0" w:type="dxa"/>
          <w:right w:w="108" w:type="dxa"/>
        </w:tblCellMar>
      </w:tblPr>
      <w:tblGrid>
        <w:gridCol w:w="4219"/>
        <w:gridCol w:w="4253"/>
      </w:tblGrid>
      <w:tr>
        <w:tblPrEx>
          <w:tblCellMar>
            <w:top w:w="0" w:type="dxa"/>
            <w:left w:w="108" w:type="dxa"/>
            <w:bottom w:w="0" w:type="dxa"/>
            <w:right w:w="108" w:type="dxa"/>
          </w:tblCellMar>
        </w:tblPrEx>
        <w:trPr>
          <w:trHeight w:val="397" w:hRule="atLeast"/>
          <w:tblHeader/>
        </w:trPr>
        <w:tc>
          <w:tcPr>
            <w:tcW w:w="4219"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drawing>
                <wp:inline distT="0" distB="0" distL="114300" distR="114300">
                  <wp:extent cx="2592070" cy="1781175"/>
                  <wp:effectExtent l="0" t="0" r="17780" b="9525"/>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592070" cy="1781175"/>
                          </a:xfrm>
                          <a:prstGeom prst="rect">
                            <a:avLst/>
                          </a:prstGeom>
                          <a:noFill/>
                          <a:ln>
                            <a:noFill/>
                          </a:ln>
                        </pic:spPr>
                      </pic:pic>
                    </a:graphicData>
                  </a:graphic>
                </wp:inline>
              </w:drawing>
            </w:r>
          </w:p>
        </w:tc>
        <w:tc>
          <w:tcPr>
            <w:tcW w:w="4253"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drawing>
                <wp:inline distT="0" distB="0" distL="114300" distR="114300">
                  <wp:extent cx="2592070" cy="1780540"/>
                  <wp:effectExtent l="0" t="0" r="17780" b="10160"/>
                  <wp:docPr id="192" name="图片 192"/>
                  <wp:cNvGraphicFramePr/>
                  <a:graphic xmlns:a="http://schemas.openxmlformats.org/drawingml/2006/main">
                    <a:graphicData uri="http://schemas.openxmlformats.org/drawingml/2006/picture">
                      <pic:pic xmlns:pic="http://schemas.openxmlformats.org/drawingml/2006/picture">
                        <pic:nvPicPr>
                          <pic:cNvPr id="192" name="图片 192"/>
                          <pic:cNvPicPr preferRelativeResize="0">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592070" cy="1780540"/>
                          </a:xfrm>
                          <a:prstGeom prst="rect">
                            <a:avLst/>
                          </a:prstGeom>
                          <a:noFill/>
                          <a:ln>
                            <a:noFill/>
                          </a:ln>
                          <a:effectLst/>
                        </pic:spPr>
                      </pic:pic>
                    </a:graphicData>
                  </a:graphic>
                </wp:inline>
              </w:drawing>
            </w:r>
          </w:p>
        </w:tc>
      </w:tr>
      <w:tr>
        <w:tblPrEx>
          <w:tblCellMar>
            <w:top w:w="0" w:type="dxa"/>
            <w:left w:w="108" w:type="dxa"/>
            <w:bottom w:w="0" w:type="dxa"/>
            <w:right w:w="108" w:type="dxa"/>
          </w:tblCellMar>
        </w:tblPrEx>
        <w:trPr>
          <w:trHeight w:val="397" w:hRule="atLeast"/>
          <w:tblHeader/>
        </w:trPr>
        <w:tc>
          <w:tcPr>
            <w:tcW w:w="4219"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t>烟气脱硫</w:t>
            </w:r>
          </w:p>
        </w:tc>
        <w:tc>
          <w:tcPr>
            <w:tcW w:w="4253"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t>油气回收</w:t>
            </w:r>
          </w:p>
        </w:tc>
      </w:tr>
      <w:tr>
        <w:tblPrEx>
          <w:tblCellMar>
            <w:top w:w="0" w:type="dxa"/>
            <w:left w:w="108" w:type="dxa"/>
            <w:bottom w:w="0" w:type="dxa"/>
            <w:right w:w="108" w:type="dxa"/>
          </w:tblCellMar>
        </w:tblPrEx>
        <w:trPr>
          <w:trHeight w:val="397" w:hRule="atLeast"/>
          <w:tblHeader/>
        </w:trPr>
        <w:tc>
          <w:tcPr>
            <w:tcW w:w="4219"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drawing>
                <wp:inline distT="0" distB="0" distL="114300" distR="114300">
                  <wp:extent cx="2592070" cy="1696085"/>
                  <wp:effectExtent l="0" t="0" r="17780" b="18415"/>
                  <wp:docPr id="27" name="图片 27"/>
                  <wp:cNvGraphicFramePr/>
                  <a:graphic xmlns:a="http://schemas.openxmlformats.org/drawingml/2006/main">
                    <a:graphicData uri="http://schemas.openxmlformats.org/drawingml/2006/picture">
                      <pic:pic xmlns:pic="http://schemas.openxmlformats.org/drawingml/2006/picture">
                        <pic:nvPicPr>
                          <pic:cNvPr id="27" name="图片 27"/>
                          <pic:cNvPicPr preferRelativeResize="0">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592070" cy="1696085"/>
                          </a:xfrm>
                          <a:prstGeom prst="rect">
                            <a:avLst/>
                          </a:prstGeom>
                          <a:noFill/>
                          <a:ln>
                            <a:noFill/>
                          </a:ln>
                          <a:effectLst/>
                        </pic:spPr>
                      </pic:pic>
                    </a:graphicData>
                  </a:graphic>
                </wp:inline>
              </w:drawing>
            </w:r>
          </w:p>
        </w:tc>
        <w:tc>
          <w:tcPr>
            <w:tcW w:w="4253"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drawing>
                <wp:inline distT="0" distB="0" distL="114300" distR="114300">
                  <wp:extent cx="2592070" cy="1663700"/>
                  <wp:effectExtent l="0" t="0" r="17780" b="1270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592070" cy="1663700"/>
                          </a:xfrm>
                          <a:prstGeom prst="rect">
                            <a:avLst/>
                          </a:prstGeom>
                          <a:noFill/>
                          <a:ln>
                            <a:noFill/>
                          </a:ln>
                        </pic:spPr>
                      </pic:pic>
                    </a:graphicData>
                  </a:graphic>
                </wp:inline>
              </w:drawing>
            </w:r>
          </w:p>
        </w:tc>
      </w:tr>
      <w:tr>
        <w:tblPrEx>
          <w:tblCellMar>
            <w:top w:w="0" w:type="dxa"/>
            <w:left w:w="108" w:type="dxa"/>
            <w:bottom w:w="0" w:type="dxa"/>
            <w:right w:w="108" w:type="dxa"/>
          </w:tblCellMar>
        </w:tblPrEx>
        <w:trPr>
          <w:trHeight w:val="397" w:hRule="atLeast"/>
          <w:tblHeader/>
        </w:trPr>
        <w:tc>
          <w:tcPr>
            <w:tcW w:w="4219"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t>焦化防尘网</w:t>
            </w:r>
          </w:p>
        </w:tc>
        <w:tc>
          <w:tcPr>
            <w:tcW w:w="4253" w:type="dxa"/>
            <w:vAlign w:val="center"/>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t>污水处理设施</w:t>
            </w:r>
          </w:p>
        </w:tc>
      </w:tr>
    </w:tbl>
    <w:p>
      <w:pPr>
        <w:pStyle w:val="10"/>
        <w:bidi w:val="0"/>
        <w:rPr>
          <w:rFonts w:hint="eastAsia"/>
          <w:highlight w:val="none"/>
        </w:rPr>
      </w:pPr>
      <w:r>
        <w:rPr>
          <w:rFonts w:hint="eastAsia"/>
          <w:highlight w:val="none"/>
          <w:lang w:val="en-US" w:eastAsia="zh-CN"/>
        </w:rPr>
        <w:t>图4.2-1公司环保设备设施</w:t>
      </w:r>
    </w:p>
    <w:p>
      <w:pPr>
        <w:pStyle w:val="7"/>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highlight w:val="none"/>
        </w:rPr>
      </w:pPr>
      <w:r>
        <w:rPr>
          <w:rFonts w:hint="eastAsia"/>
          <w:highlight w:val="none"/>
          <w:lang w:val="en-US" w:eastAsia="zh-CN"/>
        </w:rPr>
        <w:t>3、</w:t>
      </w:r>
      <w:r>
        <w:rPr>
          <w:rFonts w:hint="eastAsia"/>
          <w:highlight w:val="none"/>
        </w:rPr>
        <w:t>应对风险及持续改进的相应绩效指标</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为应对社会责任风险，在对社会有影响的产品质量安全、环境职业健康、研发生产过程等重点方面均设立了目标、指标和管理方案；公司依据业内领先技术和发展趋势，在新项目设计及旧装置改造升级中，贯彻绿色环保理念，使产品质量得到根本保障外，还降低了资源能源消耗、减少了污染排放，超越了顾客、社会等各相关方的要求</w:t>
      </w:r>
      <w:r>
        <w:rPr>
          <w:rFonts w:hint="eastAsia"/>
          <w:highlight w:val="none"/>
          <w:lang w:eastAsia="zh-CN"/>
        </w:rPr>
        <w:t>。</w:t>
      </w:r>
      <w:r>
        <w:rPr>
          <w:rFonts w:hint="eastAsia"/>
          <w:highlight w:val="none"/>
          <w:lang w:val="en-US" w:eastAsia="zh-CN"/>
        </w:rPr>
        <w:t>除了满足</w:t>
      </w:r>
      <w:r>
        <w:rPr>
          <w:rFonts w:hint="eastAsia"/>
          <w:highlight w:val="none"/>
        </w:rPr>
        <w:t>四大管理体系要求外，</w:t>
      </w:r>
      <w:r>
        <w:rPr>
          <w:rFonts w:hint="eastAsia"/>
          <w:highlight w:val="none"/>
          <w:lang w:val="en-US" w:eastAsia="zh-CN"/>
        </w:rPr>
        <w:t>新海石化</w:t>
      </w:r>
      <w:r>
        <w:rPr>
          <w:rFonts w:hint="eastAsia"/>
          <w:highlight w:val="none"/>
        </w:rPr>
        <w:t>还不断改善工作环境、自觉自愿的支助基础设施建设、</w:t>
      </w:r>
      <w:r>
        <w:rPr>
          <w:rFonts w:hint="eastAsia"/>
          <w:highlight w:val="none"/>
          <w:lang w:val="en-US" w:eastAsia="zh-CN"/>
        </w:rPr>
        <w:t>设立</w:t>
      </w:r>
      <w:r>
        <w:rPr>
          <w:rFonts w:hint="eastAsia"/>
          <w:highlight w:val="none"/>
        </w:rPr>
        <w:t>见义勇为基金、</w:t>
      </w:r>
      <w:r>
        <w:rPr>
          <w:rFonts w:hint="eastAsia"/>
          <w:highlight w:val="none"/>
          <w:lang w:val="en-US" w:eastAsia="zh-CN"/>
        </w:rPr>
        <w:t>开展</w:t>
      </w:r>
      <w:r>
        <w:rPr>
          <w:rFonts w:hint="eastAsia"/>
          <w:highlight w:val="none"/>
        </w:rPr>
        <w:t>教育事业以及扶贫工作，自觉为社会做出应有的贡献。</w:t>
      </w:r>
    </w:p>
    <w:p>
      <w:pPr>
        <w:pStyle w:val="2"/>
        <w:keepNext w:val="0"/>
        <w:keepLines w:val="0"/>
        <w:pageBreakBefore w:val="0"/>
        <w:widowControl w:val="0"/>
        <w:numPr>
          <w:ilvl w:val="0"/>
          <w:numId w:val="2"/>
        </w:numPr>
        <w:kinsoku/>
        <w:wordWrap/>
        <w:overflowPunct/>
        <w:topLinePunct w:val="0"/>
        <w:autoSpaceDE/>
        <w:autoSpaceDN/>
        <w:bidi w:val="0"/>
        <w:adjustRightInd/>
        <w:snapToGrid/>
        <w:spacing w:after="0" w:line="300" w:lineRule="auto"/>
        <w:ind w:left="0" w:leftChars="0" w:firstLine="480" w:firstLineChars="200"/>
        <w:textAlignment w:val="auto"/>
        <w:rPr>
          <w:rFonts w:hint="eastAsia"/>
          <w:highlight w:val="none"/>
          <w:lang w:val="en-US" w:eastAsia="zh-CN"/>
        </w:rPr>
      </w:pPr>
      <w:r>
        <w:rPr>
          <w:rFonts w:hint="eastAsia"/>
          <w:highlight w:val="none"/>
          <w:lang w:val="en-US" w:eastAsia="zh-CN"/>
        </w:rPr>
        <w:t>大力发展当地经济，缓解就业压力</w:t>
      </w:r>
    </w:p>
    <w:p>
      <w:pPr>
        <w:pStyle w:val="2"/>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eastAsia" w:ascii="仿宋" w:hAnsi="仿宋" w:cs="仿宋"/>
          <w:b w:val="0"/>
          <w:bCs w:val="0"/>
          <w:color w:val="auto"/>
          <w:sz w:val="24"/>
          <w:szCs w:val="24"/>
          <w:highlight w:val="none"/>
          <w:lang w:eastAsia="zh-CN"/>
        </w:rPr>
      </w:pPr>
      <w:r>
        <w:rPr>
          <w:rFonts w:hint="eastAsia"/>
          <w:color w:val="FF0000"/>
          <w:highlight w:val="none"/>
          <w:lang w:val="en-US" w:eastAsia="zh-CN"/>
        </w:rPr>
        <w:t xml:space="preserve">   </w:t>
      </w:r>
      <w:r>
        <w:rPr>
          <w:rFonts w:hint="eastAsia"/>
          <w:color w:val="auto"/>
          <w:highlight w:val="none"/>
        </w:rPr>
        <w:t>公司于2007年6月投资建厂，资产规模40多亿元，</w:t>
      </w:r>
      <w:r>
        <w:rPr>
          <w:rFonts w:hint="eastAsia"/>
          <w:color w:val="auto"/>
          <w:highlight w:val="none"/>
          <w:lang w:eastAsia="zh-CN"/>
        </w:rPr>
        <w:t>解决</w:t>
      </w:r>
      <w:r>
        <w:rPr>
          <w:rFonts w:hint="eastAsia"/>
          <w:color w:val="auto"/>
          <w:highlight w:val="none"/>
        </w:rPr>
        <w:t>1223</w:t>
      </w:r>
      <w:r>
        <w:rPr>
          <w:rFonts w:hint="eastAsia"/>
          <w:color w:val="auto"/>
          <w:highlight w:val="none"/>
          <w:lang w:eastAsia="zh-CN"/>
        </w:rPr>
        <w:t>名员工的就业问题，其中</w:t>
      </w:r>
      <w:r>
        <w:rPr>
          <w:rFonts w:hint="eastAsia"/>
          <w:color w:val="auto"/>
          <w:highlight w:val="none"/>
        </w:rPr>
        <w:t>大专以上学历占73%</w:t>
      </w:r>
      <w:r>
        <w:rPr>
          <w:rFonts w:hint="eastAsia"/>
          <w:color w:val="auto"/>
          <w:highlight w:val="none"/>
          <w:lang w:eastAsia="zh-CN"/>
        </w:rPr>
        <w:t>，大专以下学历占</w:t>
      </w:r>
      <w:r>
        <w:rPr>
          <w:rFonts w:hint="eastAsia"/>
          <w:color w:val="auto"/>
          <w:highlight w:val="none"/>
          <w:lang w:val="en-US" w:eastAsia="zh-CN"/>
        </w:rPr>
        <w:t>27%</w:t>
      </w:r>
      <w:r>
        <w:rPr>
          <w:rFonts w:hint="eastAsia"/>
          <w:color w:val="auto"/>
          <w:highlight w:val="none"/>
        </w:rPr>
        <w:t>。201</w:t>
      </w:r>
      <w:r>
        <w:rPr>
          <w:rFonts w:hint="eastAsia"/>
          <w:color w:val="auto"/>
          <w:highlight w:val="none"/>
          <w:lang w:val="en-US" w:eastAsia="zh-CN"/>
        </w:rPr>
        <w:t>9</w:t>
      </w:r>
      <w:r>
        <w:rPr>
          <w:rFonts w:hint="eastAsia"/>
          <w:color w:val="auto"/>
          <w:highlight w:val="none"/>
        </w:rPr>
        <w:t>年，</w:t>
      </w:r>
      <w:r>
        <w:rPr>
          <w:rFonts w:hint="eastAsia"/>
          <w:color w:val="auto"/>
          <w:highlight w:val="none"/>
          <w:lang w:eastAsia="zh-CN"/>
        </w:rPr>
        <w:t>公司</w:t>
      </w:r>
      <w:r>
        <w:rPr>
          <w:rFonts w:hint="eastAsia"/>
          <w:color w:val="auto"/>
          <w:highlight w:val="none"/>
        </w:rPr>
        <w:t>实现主营业务收入1</w:t>
      </w:r>
      <w:r>
        <w:rPr>
          <w:rFonts w:hint="eastAsia"/>
          <w:color w:val="auto"/>
          <w:highlight w:val="none"/>
          <w:lang w:val="en-US" w:eastAsia="zh-CN"/>
        </w:rPr>
        <w:t>85</w:t>
      </w:r>
      <w:r>
        <w:rPr>
          <w:rFonts w:hint="eastAsia"/>
          <w:color w:val="auto"/>
          <w:highlight w:val="none"/>
        </w:rPr>
        <w:t>亿元，上缴税收1</w:t>
      </w:r>
      <w:r>
        <w:rPr>
          <w:rFonts w:hint="eastAsia"/>
          <w:color w:val="auto"/>
          <w:highlight w:val="none"/>
          <w:lang w:val="en-US" w:eastAsia="zh-CN"/>
        </w:rPr>
        <w:t>6</w:t>
      </w:r>
      <w:r>
        <w:rPr>
          <w:rFonts w:hint="eastAsia"/>
          <w:color w:val="auto"/>
          <w:highlight w:val="none"/>
        </w:rPr>
        <w:t>亿</w:t>
      </w:r>
      <w:r>
        <w:rPr>
          <w:rFonts w:hint="eastAsia" w:ascii="仿宋" w:hAnsi="仿宋" w:eastAsia="仿宋" w:cs="仿宋"/>
          <w:b w:val="0"/>
          <w:bCs w:val="0"/>
          <w:color w:val="auto"/>
          <w:sz w:val="24"/>
          <w:szCs w:val="24"/>
          <w:highlight w:val="none"/>
        </w:rPr>
        <w:t>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外贸进出口超过4亿美元，连续十年入围“中国民营企业500强”</w:t>
      </w:r>
      <w:r>
        <w:rPr>
          <w:rFonts w:hint="eastAsia" w:ascii="仿宋" w:hAnsi="仿宋" w:cs="仿宋"/>
          <w:b w:val="0"/>
          <w:bCs w:val="0"/>
          <w:color w:val="auto"/>
          <w:sz w:val="24"/>
          <w:szCs w:val="24"/>
          <w:highlight w:val="none"/>
          <w:lang w:eastAsia="zh-CN"/>
        </w:rPr>
        <w:t>，为当地的经济发展做出了巨大贡献</w:t>
      </w:r>
      <w:r>
        <w:rPr>
          <w:rFonts w:hint="eastAsia" w:ascii="仿宋" w:hAnsi="仿宋" w:eastAsia="仿宋" w:cs="仿宋"/>
          <w:b w:val="0"/>
          <w:bCs w:val="0"/>
          <w:color w:val="auto"/>
          <w:sz w:val="24"/>
          <w:szCs w:val="24"/>
          <w:highlight w:val="none"/>
        </w:rPr>
        <w:t>。</w:t>
      </w:r>
      <w:r>
        <w:rPr>
          <w:rFonts w:hint="eastAsia" w:ascii="仿宋" w:hAnsi="仿宋" w:cs="仿宋"/>
          <w:b w:val="0"/>
          <w:bCs w:val="0"/>
          <w:color w:val="auto"/>
          <w:sz w:val="24"/>
          <w:szCs w:val="24"/>
          <w:highlight w:val="none"/>
          <w:lang w:eastAsia="zh-CN"/>
        </w:rPr>
        <w:t>目前，公司新增丙烷脱氢、低硫船用燃料油可研报告已通过评审届时公司将新增</w:t>
      </w:r>
      <w:r>
        <w:rPr>
          <w:rFonts w:hint="eastAsia" w:ascii="仿宋" w:hAnsi="仿宋" w:cs="仿宋"/>
          <w:b w:val="0"/>
          <w:bCs w:val="0"/>
          <w:color w:val="auto"/>
          <w:sz w:val="24"/>
          <w:szCs w:val="24"/>
          <w:highlight w:val="none"/>
          <w:lang w:val="en-US" w:eastAsia="zh-CN"/>
        </w:rPr>
        <w:t>超过500个就业岗位，</w:t>
      </w:r>
      <w:r>
        <w:rPr>
          <w:rFonts w:hint="eastAsia" w:ascii="仿宋" w:hAnsi="仿宋" w:cs="仿宋"/>
          <w:b w:val="0"/>
          <w:bCs w:val="0"/>
          <w:color w:val="auto"/>
          <w:sz w:val="24"/>
          <w:szCs w:val="24"/>
          <w:highlight w:val="none"/>
          <w:lang w:eastAsia="zh-CN"/>
        </w:rPr>
        <w:t>进一步缓解当地的就业压力，减少社会治安的不稳定性因素，尽到企业的社会责任。</w:t>
      </w:r>
    </w:p>
    <w:p>
      <w:pPr>
        <w:pStyle w:val="6"/>
        <w:keepNext/>
        <w:keepLines/>
        <w:pageBreakBefore w:val="0"/>
        <w:widowControl w:val="0"/>
        <w:kinsoku/>
        <w:wordWrap/>
        <w:overflowPunct/>
        <w:topLinePunct w:val="0"/>
        <w:autoSpaceDE/>
        <w:autoSpaceDN/>
        <w:bidi w:val="0"/>
        <w:adjustRightInd/>
        <w:snapToGrid/>
        <w:textAlignment w:val="auto"/>
        <w:outlineLvl w:val="0"/>
        <w:rPr>
          <w:rFonts w:hint="eastAsia"/>
          <w:sz w:val="28"/>
          <w:szCs w:val="28"/>
          <w:highlight w:val="none"/>
        </w:rPr>
      </w:pPr>
      <w:bookmarkStart w:id="18" w:name="_Toc11931"/>
      <w:bookmarkStart w:id="19" w:name="_Toc2639"/>
      <w:bookmarkStart w:id="20" w:name="_Toc4614"/>
      <w:bookmarkStart w:id="21" w:name="_Toc7271"/>
      <w:bookmarkStart w:id="22" w:name="_Toc342838735"/>
      <w:bookmarkStart w:id="23" w:name="_Toc13088"/>
      <w:r>
        <w:rPr>
          <w:rFonts w:hint="eastAsia"/>
          <w:sz w:val="28"/>
          <w:szCs w:val="28"/>
          <w:highlight w:val="none"/>
          <w:lang w:val="en-US" w:eastAsia="zh-CN"/>
        </w:rPr>
        <w:t>五、</w:t>
      </w:r>
      <w:r>
        <w:rPr>
          <w:rFonts w:hint="eastAsia"/>
          <w:sz w:val="28"/>
          <w:szCs w:val="28"/>
          <w:highlight w:val="none"/>
        </w:rPr>
        <w:t>履行质量安全职责</w:t>
      </w:r>
      <w:bookmarkEnd w:id="18"/>
      <w:bookmarkEnd w:id="19"/>
      <w:bookmarkEnd w:id="20"/>
    </w:p>
    <w:p>
      <w:pPr>
        <w:keepNext w:val="0"/>
        <w:keepLines w:val="0"/>
        <w:pageBreakBefore w:val="0"/>
        <w:widowControl w:val="0"/>
        <w:kinsoku/>
        <w:wordWrap/>
        <w:overflowPunct/>
        <w:topLinePunct w:val="0"/>
        <w:autoSpaceDE/>
        <w:autoSpaceDN/>
        <w:bidi w:val="0"/>
        <w:adjustRightInd/>
        <w:snapToGrid/>
        <w:textAlignment w:val="auto"/>
        <w:rPr>
          <w:rFonts w:hint="eastAsia" w:eastAsia="仿宋"/>
          <w:highlight w:val="none"/>
          <w:lang w:val="en-US" w:eastAsia="zh-CN"/>
        </w:rPr>
      </w:pPr>
      <w:r>
        <w:rPr>
          <w:rFonts w:hint="eastAsia"/>
          <w:highlight w:val="none"/>
          <w:lang w:val="en-US" w:eastAsia="zh-CN"/>
        </w:rPr>
        <w:t>1、产品质量水平</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cs="宋体"/>
          <w:kern w:val="2"/>
          <w:highlight w:val="none"/>
        </w:rPr>
      </w:pPr>
      <w:r>
        <w:rPr>
          <w:rFonts w:hint="eastAsia"/>
          <w:highlight w:val="none"/>
        </w:rPr>
        <w:t>公司领导一直以来视质量为公司的生命，亲自参与公司质量战略及年度质量工作计划的制订，为公司的质量管理工作指明方向；明确质量目标和任务；公司建立明确的质量KPI，实行质量安全“一票否决制”将质量绩效与管理者、员工绩效结合在一起，保证质量红钱的严格落实。</w:t>
      </w:r>
      <w:r>
        <w:rPr>
          <w:rFonts w:hint="eastAsia" w:ascii="宋体" w:hAnsi="宋体" w:cs="宋体"/>
          <w:kern w:val="2"/>
          <w:highlight w:val="none"/>
        </w:rPr>
        <w:t>在不断提高品牌知名度的同时，坚持走高端路线，通过不断推进油品升级、优化产品结构，持续提升产品质量。公司分别于2013年和2015年便完成了国Ⅴ车用汽油和国Ⅴ车用柴油的全面升级，均提前三年完成国家要求，走在了市场的前沿。公司又于2017年9月同步完成了国Ⅵ车用汽油和国Ⅵ车用柴油的产品升级，均达到国家标准(VIB)的技术要求，提前完成了国家要求，再次抢得市场先机。公司目前研发成功并全面生产了高清洁车用汽油，油品不但耐烧性强、动力强劲、性价比高，而且更清洁环保。其他产品也均能达到国内先进水平。</w:t>
      </w:r>
    </w:p>
    <w:p>
      <w:pPr>
        <w:pStyle w:val="2"/>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eastAsia="仿宋"/>
          <w:highlight w:val="none"/>
          <w:lang w:val="en-US" w:eastAsia="zh-CN"/>
        </w:rPr>
      </w:pPr>
      <w:r>
        <w:rPr>
          <w:rFonts w:hint="eastAsia"/>
          <w:highlight w:val="none"/>
          <w:lang w:val="en-US" w:eastAsia="zh-CN"/>
        </w:rPr>
        <w:t>2、质量安全运行模式</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highlight w:val="none"/>
          <w:lang w:eastAsia="zh-CN"/>
        </w:rPr>
      </w:pPr>
      <w:r>
        <w:rPr>
          <w:rFonts w:hint="eastAsia"/>
          <w:highlight w:val="none"/>
        </w:rPr>
        <w:t>质量工作始于教育、终于教育，在公司领导的大力支持和亲自参与下，公司每年不定期进行各种质量教育培训活动，提高公司全体员工的质量意识和质量工作技能，为产品质量、服务质量、工作质量乃至运营质量的提升打下坚实的基础；</w:t>
      </w:r>
      <w:r>
        <w:rPr>
          <w:rFonts w:hint="eastAsia" w:ascii="仿宋" w:hAnsi="仿宋" w:eastAsia="仿宋" w:cs="仿宋"/>
          <w:highlight w:val="none"/>
        </w:rPr>
        <w:t>公司已连续两年在全公司范围内组织质量月活动，鼓励员工积极参与质量活动，起到了很好的宣传教育效果。公司建立了明确的质量安全追溯系统，形成完整的PDCA循环；为了检查回顾质量计划的落实情况</w:t>
      </w:r>
      <w:r>
        <w:rPr>
          <w:rFonts w:hint="eastAsia" w:ascii="仿宋" w:hAnsi="仿宋" w:cs="仿宋"/>
          <w:highlight w:val="none"/>
          <w:lang w:eastAsia="zh-CN"/>
        </w:rPr>
        <w:t>，</w:t>
      </w:r>
      <w:r>
        <w:rPr>
          <w:rFonts w:hint="eastAsia" w:ascii="仿宋" w:hAnsi="仿宋" w:eastAsia="仿宋" w:cs="仿宋"/>
          <w:highlight w:val="none"/>
        </w:rPr>
        <w:t>公司领导每月组织召开总经理办公会议和质量会议，对公司的整体运营情况及质量管理情况进行回顾总结，检查关键绩效指标，发现问题及时提出改进对策并组织执行。公司每季进行绩效考核，全面检查各种绩效指标达成情况，并进行分析总结；公司每半年进行一次全公司的总结大会和管理评审，从各维度对公司的整体运营质量进行全面总结，评价管理体系的有效性和适宜性，并针对存在的问题提出改进方案并组织实施，不断提升产品质量和运营质量，不断满足相关方的各种需求，从而不断的良性循环</w:t>
      </w:r>
      <w:r>
        <w:rPr>
          <w:rFonts w:hint="eastAsia" w:ascii="仿宋" w:hAnsi="仿宋" w:cs="仿宋"/>
          <w:highlight w:val="none"/>
          <w:lang w:eastAsia="zh-CN"/>
        </w:rPr>
        <w:t>。</w:t>
      </w:r>
    </w:p>
    <w:p>
      <w:pPr>
        <w:pStyle w:val="6"/>
        <w:keepNext/>
        <w:keepLines/>
        <w:pageBreakBefore w:val="0"/>
        <w:widowControl w:val="0"/>
        <w:kinsoku/>
        <w:wordWrap/>
        <w:overflowPunct/>
        <w:topLinePunct w:val="0"/>
        <w:autoSpaceDE/>
        <w:autoSpaceDN/>
        <w:bidi w:val="0"/>
        <w:adjustRightInd/>
        <w:snapToGrid/>
        <w:textAlignment w:val="auto"/>
        <w:outlineLvl w:val="0"/>
        <w:rPr>
          <w:rFonts w:hint="eastAsia"/>
          <w:sz w:val="28"/>
          <w:szCs w:val="28"/>
          <w:highlight w:val="none"/>
        </w:rPr>
      </w:pPr>
      <w:bookmarkStart w:id="24" w:name="_Toc27433"/>
      <w:r>
        <w:rPr>
          <w:rFonts w:hint="eastAsia"/>
          <w:sz w:val="28"/>
          <w:szCs w:val="28"/>
          <w:highlight w:val="none"/>
          <w:lang w:eastAsia="zh-CN"/>
        </w:rPr>
        <w:t>六、</w:t>
      </w:r>
      <w:r>
        <w:rPr>
          <w:rFonts w:hint="eastAsia"/>
          <w:sz w:val="28"/>
          <w:szCs w:val="28"/>
          <w:highlight w:val="none"/>
        </w:rPr>
        <w:t>道德行为</w:t>
      </w:r>
      <w:bookmarkEnd w:id="21"/>
      <w:bookmarkEnd w:id="22"/>
      <w:bookmarkEnd w:id="23"/>
      <w:bookmarkEnd w:id="24"/>
    </w:p>
    <w:p>
      <w:pPr>
        <w:pStyle w:val="7"/>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highlight w:val="none"/>
        </w:rPr>
      </w:pPr>
      <w:r>
        <w:rPr>
          <w:rFonts w:hint="eastAsia"/>
          <w:highlight w:val="none"/>
          <w:lang w:val="en-US" w:eastAsia="zh-CN"/>
        </w:rPr>
        <w:t>1、</w:t>
      </w:r>
      <w:r>
        <w:rPr>
          <w:rFonts w:hint="eastAsia"/>
          <w:highlight w:val="none"/>
        </w:rPr>
        <w:t>遵守诚信准则，构建信用体系</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诚信准则是企业良性发展的立足之本，公司要求上下恪守内诚外信的务实准则，积极构建信用体系。</w:t>
      </w:r>
      <w:r>
        <w:rPr>
          <w:rFonts w:hint="eastAsia"/>
          <w:highlight w:val="none"/>
          <w:lang w:eastAsia="zh-CN"/>
        </w:rPr>
        <w:t>新海石化</w:t>
      </w:r>
      <w:r>
        <w:rPr>
          <w:rFonts w:hint="eastAsia"/>
          <w:highlight w:val="none"/>
        </w:rPr>
        <w:t>一直传承和发扬诚信文化，公司牢记使命，把诚信作为贯穿企业发展战略中的一项重要行动准则。</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树立以诚信为核心的价值观，领导层通过培训、沟通、员工手册等多种途径把诚信原则贯穿、渗透到企业理念和全部经营活动中。通过强化教育、健全制度、规范流程、自我约束、完善监督等一系列严格措施，全力打造企业诚信体系，使诚信原则及廉洁自律各项要求在公司经营活动中得到全面有效实施。公司领导层忠于职守始终不能忘记对股东负责、对员工负责的历史使命，正确处理企业利益与社会责任的关系。坚持把遵纪守法、诚信经营和承担社会责任作为企业的神圣职责和重要任务，引导企业走持续、健康发展之路。</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自成立以来一直合法经营，依法纳税，连续6年企业信用等级为AAA级，自公司成立以来，不断完善治理结构，及时披露信息，保证股东权益；保障员工安全、社会统筹基本权益；加强员工道德教育，定期进行优秀评选，增强员工责任感、荣誉感、归属感，推进企业和谐发展。先后获得“江苏省守合同重信用AAA”、“AAA信用等级证书”、“江苏省十佳诚信企业”、“诚信经营服务先进单位”、“江苏省安全文化建设示范企业”、“江苏省安全生产诚信企业”等荣誉称号。</w:t>
      </w:r>
    </w:p>
    <w:p>
      <w:pPr>
        <w:pStyle w:val="7"/>
        <w:keepNext/>
        <w:keepLines/>
        <w:pageBreakBefore w:val="0"/>
        <w:widowControl w:val="0"/>
        <w:kinsoku/>
        <w:wordWrap/>
        <w:overflowPunct/>
        <w:topLinePunct w:val="0"/>
        <w:autoSpaceDE/>
        <w:autoSpaceDN/>
        <w:bidi w:val="0"/>
        <w:adjustRightInd/>
        <w:snapToGrid/>
        <w:spacing w:before="0" w:beforeLines="0" w:line="300" w:lineRule="auto"/>
        <w:ind w:firstLine="480" w:firstLineChars="200"/>
        <w:textAlignment w:val="auto"/>
        <w:rPr>
          <w:rFonts w:hint="eastAsia"/>
          <w:highlight w:val="none"/>
        </w:rPr>
      </w:pPr>
      <w:r>
        <w:rPr>
          <w:rFonts w:hint="eastAsia"/>
          <w:highlight w:val="none"/>
          <w:lang w:val="en-US" w:eastAsia="zh-CN"/>
        </w:rPr>
        <w:t>2、</w:t>
      </w:r>
      <w:r>
        <w:rPr>
          <w:rFonts w:hint="eastAsia"/>
          <w:highlight w:val="none"/>
        </w:rPr>
        <w:t>确保公司行为符合道德规范</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公司领导非常重视企业经营道德，维护企业的形象，并建立道德行为监测体系，用于监测公司的道德行为。</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1）公司制定了《员工手册》、《员工奖惩制度》，规定高级管理人员道德自律要求和行为准则；规范管理人员和员工的行为，对重要经营活动进行监督，对员工反映的事项进行监察，对违规违纪行为进行严肃处理，维护公司的内部良好形象。</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（2）正确处理与合作伙伴的关系，按期还贷、按时足额缴纳税费、严格履行合同，塑造公司外部的良好形象。</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3）面向客户，公司要求各部门在产品、工程和服务方面确保质量、严守合同。公司同时执行通信设备的国家标准、行业标准、运营商企业标准和公司自身的企业标准，基于品牌战略的定位，公司往往选择优于同行业一般标准依照执行，</w:t>
      </w:r>
      <w:r>
        <w:rPr>
          <w:rFonts w:hint="eastAsia"/>
          <w:highlight w:val="none"/>
          <w:lang w:val="en-US" w:eastAsia="zh-CN"/>
        </w:rPr>
        <w:t>例如：</w:t>
      </w:r>
      <w:r>
        <w:rPr>
          <w:rFonts w:hint="eastAsia"/>
          <w:highlight w:val="none"/>
        </w:rPr>
        <w:t>92#车用汽油辛烷值，国标≥92，实际外售不低于92.55，得到了用户的广泛好评。同时在履行销售合同方面，公司一贯是按《合同法》操作，与广大客户无论大小均有良好合作。</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（4）对于股东，公司坚持诚信透明，积极履行披露义务。自成立以来，</w:t>
      </w:r>
      <w:r>
        <w:rPr>
          <w:rFonts w:hint="eastAsia"/>
          <w:highlight w:val="none"/>
          <w:lang w:val="en-US" w:eastAsia="zh-CN"/>
        </w:rPr>
        <w:t>新海石化</w:t>
      </w:r>
      <w:r>
        <w:rPr>
          <w:rFonts w:hint="eastAsia"/>
          <w:highlight w:val="none"/>
        </w:rPr>
        <w:t>严格履行信息披露义务，合法生产，合规经营，本着诚信经营、回报股东的理念，树立了良好的</w:t>
      </w:r>
      <w:r>
        <w:rPr>
          <w:rFonts w:hint="eastAsia"/>
          <w:highlight w:val="none"/>
          <w:lang w:val="en-US" w:eastAsia="zh-CN"/>
        </w:rPr>
        <w:t>企业</w:t>
      </w:r>
      <w:r>
        <w:rPr>
          <w:rFonts w:hint="eastAsia"/>
          <w:highlight w:val="none"/>
        </w:rPr>
        <w:t>形象。公司注重对投资者的合理投资回报，在兼顾公司长远和可持续发展的同时，按照相关规定给予投资者分红。</w:t>
      </w:r>
    </w:p>
    <w:p>
      <w:pPr>
        <w:pageBreakBefore w:val="0"/>
        <w:widowControl w:val="0"/>
        <w:kinsoku/>
        <w:wordWrap/>
        <w:overflowPunct/>
        <w:topLinePunct w:val="0"/>
        <w:autoSpaceDE/>
        <w:autoSpaceDN/>
        <w:bidi w:val="0"/>
        <w:adjustRightInd/>
        <w:snapToGrid/>
        <w:spacing w:line="300" w:lineRule="auto"/>
        <w:textAlignment w:val="auto"/>
        <w:rPr>
          <w:rFonts w:hint="eastAsia"/>
          <w:highlight w:val="none"/>
        </w:rPr>
      </w:pPr>
      <w:r>
        <w:rPr>
          <w:rFonts w:hint="eastAsia"/>
          <w:highlight w:val="none"/>
        </w:rPr>
        <w:t>（5）对待社会：诚信守法、保护环境，积极履行企业公民所</w:t>
      </w:r>
      <w:r>
        <w:rPr>
          <w:rFonts w:hint="eastAsia"/>
          <w:highlight w:val="none"/>
          <w:lang w:val="en-US" w:eastAsia="zh-CN"/>
        </w:rPr>
        <w:t>应有</w:t>
      </w:r>
      <w:r>
        <w:rPr>
          <w:rFonts w:hint="eastAsia"/>
          <w:highlight w:val="none"/>
        </w:rPr>
        <w:t>的社会责任。积极履行社会责任，坚持对欠发达地区、对遭受自然灾害的地区、对教育事业进行慈善捐助是成功企业反哺社会的必经之路；坚持保护环境，坚持走绿色环保的可持续发展道路。</w:t>
      </w:r>
    </w:p>
    <w:p>
      <w:pPr>
        <w:widowControl w:val="0"/>
        <w:bidi w:val="0"/>
        <w:spacing w:before="50" w:beforeLines="50" w:line="240" w:lineRule="auto"/>
        <w:ind w:firstLine="0" w:firstLineChars="0"/>
        <w:jc w:val="center"/>
        <w:rPr>
          <w:rFonts w:hint="eastAsia" w:asciiTheme="majorEastAsia" w:hAnsiTheme="majorEastAsia" w:eastAsiaTheme="majorEastAsia" w:cstheme="majorEastAsia"/>
          <w:b/>
          <w:kern w:val="2"/>
          <w:sz w:val="21"/>
          <w:szCs w:val="24"/>
          <w:highlight w:val="none"/>
          <w:lang w:val="en-US" w:eastAsia="zh-CN" w:bidi="ar-SA"/>
        </w:rPr>
      </w:pPr>
      <w:r>
        <w:rPr>
          <w:rFonts w:hint="eastAsia" w:asciiTheme="majorEastAsia" w:hAnsiTheme="majorEastAsia" w:eastAsiaTheme="majorEastAsia" w:cstheme="majorEastAsia"/>
          <w:b/>
          <w:kern w:val="2"/>
          <w:sz w:val="21"/>
          <w:szCs w:val="24"/>
          <w:highlight w:val="none"/>
          <w:lang w:val="en-US" w:eastAsia="zh-CN" w:bidi="ar-SA"/>
        </w:rPr>
        <w:t>表6.2-1公司道德行为监测体系</w:t>
      </w:r>
    </w:p>
    <w:tbl>
      <w:tblPr>
        <w:tblStyle w:val="21"/>
        <w:tblW w:w="8522" w:type="dxa"/>
        <w:jc w:val="center"/>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Layout w:type="fixed"/>
        <w:tblCellMar>
          <w:top w:w="0" w:type="dxa"/>
          <w:left w:w="108" w:type="dxa"/>
          <w:bottom w:w="0" w:type="dxa"/>
          <w:right w:w="108" w:type="dxa"/>
        </w:tblCellMar>
      </w:tblPr>
      <w:tblGrid>
        <w:gridCol w:w="1121"/>
        <w:gridCol w:w="1220"/>
        <w:gridCol w:w="1642"/>
        <w:gridCol w:w="1951"/>
        <w:gridCol w:w="2588"/>
      </w:tblGrid>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tblHeader/>
          <w:jc w:val="center"/>
        </w:trPr>
        <w:tc>
          <w:tcPr>
            <w:tcW w:w="1121"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jc w:val="center"/>
              <w:rPr>
                <w:rFonts w:hint="eastAsia"/>
                <w:b/>
                <w:bCs/>
                <w:highlight w:val="none"/>
              </w:rPr>
            </w:pPr>
            <w:r>
              <w:rPr>
                <w:rFonts w:hint="eastAsia"/>
                <w:b/>
                <w:bCs/>
                <w:highlight w:val="none"/>
              </w:rPr>
              <w:t>监督对象</w:t>
            </w:r>
          </w:p>
        </w:tc>
        <w:tc>
          <w:tcPr>
            <w:tcW w:w="1220"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jc w:val="center"/>
              <w:rPr>
                <w:rFonts w:hint="eastAsia"/>
                <w:b/>
                <w:bCs/>
                <w:highlight w:val="none"/>
              </w:rPr>
            </w:pPr>
            <w:r>
              <w:rPr>
                <w:rFonts w:hint="eastAsia"/>
                <w:b/>
                <w:bCs/>
                <w:highlight w:val="none"/>
              </w:rPr>
              <w:t>监督过程</w:t>
            </w:r>
          </w:p>
        </w:tc>
        <w:tc>
          <w:tcPr>
            <w:tcW w:w="1642"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jc w:val="center"/>
              <w:rPr>
                <w:rFonts w:hint="eastAsia"/>
                <w:b/>
                <w:bCs/>
                <w:highlight w:val="none"/>
              </w:rPr>
            </w:pPr>
            <w:r>
              <w:rPr>
                <w:rFonts w:hint="eastAsia"/>
                <w:b/>
                <w:bCs/>
                <w:highlight w:val="none"/>
              </w:rPr>
              <w:t>监督部门</w:t>
            </w:r>
          </w:p>
        </w:tc>
        <w:tc>
          <w:tcPr>
            <w:tcW w:w="1951"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jc w:val="center"/>
              <w:rPr>
                <w:rFonts w:hint="eastAsia"/>
                <w:b/>
                <w:bCs/>
                <w:highlight w:val="none"/>
              </w:rPr>
            </w:pPr>
            <w:r>
              <w:rPr>
                <w:rFonts w:hint="eastAsia"/>
                <w:b/>
                <w:bCs/>
                <w:highlight w:val="none"/>
              </w:rPr>
              <w:t>测量方法</w:t>
            </w:r>
          </w:p>
        </w:tc>
        <w:tc>
          <w:tcPr>
            <w:tcW w:w="2588"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jc w:val="center"/>
              <w:rPr>
                <w:rFonts w:hint="eastAsia"/>
                <w:b/>
                <w:bCs/>
                <w:highlight w:val="none"/>
              </w:rPr>
            </w:pPr>
            <w:r>
              <w:rPr>
                <w:rFonts w:hint="eastAsia"/>
                <w:b/>
                <w:bCs/>
                <w:highlight w:val="none"/>
              </w:rPr>
              <w:t>测量指标</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restart"/>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股东大会、董事会、监事会</w:t>
            </w:r>
          </w:p>
        </w:tc>
        <w:tc>
          <w:tcPr>
            <w:tcW w:w="1220"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公司治理结构</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董事会、监事会</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股东会会议</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职工监事1名</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勤政、廉政</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监事会</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监事会审计</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违纪违法事件为零</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restart"/>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公司高级管理人员</w:t>
            </w:r>
          </w:p>
        </w:tc>
        <w:tc>
          <w:tcPr>
            <w:tcW w:w="1220" w:type="dxa"/>
            <w:vMerge w:val="restart"/>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管理行为的公正性</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公司内部审计部</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内部审计、监察</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重大经营活动无违规</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公司工会</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监督和通报</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签订工资集体协商协议，集体劳动合同履行率100%</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公司员工</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职工代表大会</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投诉率为0</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restart"/>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生产经营活动的规范性</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会计师事务所</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会计师事务所审计</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财务报表100%客观真实</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税务部门</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税务检查及评价</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依法纳税率100%</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银行</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银行信用评价</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按时还贷率100%，信用等级3A</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客户</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满意度测评</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顾客满意度4分以上（5分制）</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220" w:type="dxa"/>
            <w:vMerge w:val="continue"/>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供应商</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合同兑现</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合同兑现率100%</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公司员工</w:t>
            </w:r>
          </w:p>
        </w:tc>
        <w:tc>
          <w:tcPr>
            <w:tcW w:w="1220"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日常行为</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人力资源部</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员工绩效考评</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年度绩效考评每年1次</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0" w:type="dxa"/>
            <w:left w:w="108" w:type="dxa"/>
            <w:bottom w:w="0" w:type="dxa"/>
            <w:right w:w="108" w:type="dxa"/>
          </w:tblCellMar>
        </w:tblPrEx>
        <w:trPr>
          <w:trHeight w:val="397" w:hRule="atLeast"/>
          <w:jc w:val="center"/>
        </w:trPr>
        <w:tc>
          <w:tcPr>
            <w:tcW w:w="112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供应商</w:t>
            </w:r>
          </w:p>
        </w:tc>
        <w:tc>
          <w:tcPr>
            <w:tcW w:w="1220"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阳光采购</w:t>
            </w:r>
          </w:p>
        </w:tc>
        <w:tc>
          <w:tcPr>
            <w:tcW w:w="1642"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公司内部审计部</w:t>
            </w:r>
          </w:p>
        </w:tc>
        <w:tc>
          <w:tcPr>
            <w:tcW w:w="1951"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内部审计、监察</w:t>
            </w:r>
          </w:p>
        </w:tc>
        <w:tc>
          <w:tcPr>
            <w:tcW w:w="2588" w:type="dxa"/>
            <w:tcBorders>
              <w:tl2br w:val="nil"/>
              <w:tr2bl w:val="nil"/>
            </w:tcBorders>
            <w:vAlign w:val="center"/>
          </w:tcPr>
          <w:p>
            <w:pPr>
              <w:pStyle w:val="29"/>
              <w:keepNext w:val="0"/>
              <w:keepLines w:val="0"/>
              <w:suppressLineNumbers w:val="0"/>
              <w:bidi w:val="0"/>
              <w:spacing w:before="0" w:beforeAutospacing="0" w:after="0" w:afterAutospacing="0"/>
              <w:ind w:left="0" w:right="0"/>
              <w:jc w:val="center"/>
              <w:rPr>
                <w:rFonts w:hint="eastAsia"/>
                <w:highlight w:val="none"/>
              </w:rPr>
            </w:pPr>
            <w:r>
              <w:rPr>
                <w:rFonts w:hint="eastAsia"/>
                <w:highlight w:val="none"/>
              </w:rPr>
              <w:t>商业贿赂事件为零</w:t>
            </w:r>
          </w:p>
        </w:tc>
      </w:tr>
    </w:tbl>
    <w:p>
      <w:pPr>
        <w:pStyle w:val="6"/>
        <w:keepNext/>
        <w:keepLines/>
        <w:pageBreakBefore w:val="0"/>
        <w:widowControl w:val="0"/>
        <w:numPr>
          <w:ilvl w:val="0"/>
          <w:numId w:val="0"/>
        </w:numPr>
        <w:kinsoku/>
        <w:wordWrap/>
        <w:overflowPunct/>
        <w:topLinePunct w:val="0"/>
        <w:autoSpaceDE/>
        <w:autoSpaceDN/>
        <w:bidi w:val="0"/>
        <w:adjustRightInd/>
        <w:snapToGrid/>
        <w:spacing w:before="0" w:beforeLines="0" w:after="0" w:afterLines="0"/>
        <w:ind w:firstLine="480" w:firstLineChars="200"/>
        <w:textAlignment w:val="auto"/>
        <w:rPr>
          <w:rFonts w:hint="eastAsia" w:ascii="仿宋" w:hAnsi="仿宋" w:eastAsia="仿宋" w:cs="仿宋"/>
          <w:highlight w:val="none"/>
          <w:lang w:val="en-US" w:eastAsia="zh-CN"/>
        </w:rPr>
      </w:pPr>
      <w:bookmarkStart w:id="25" w:name="_Toc342838736"/>
      <w:bookmarkStart w:id="26" w:name="_Toc2064"/>
      <w:bookmarkStart w:id="27" w:name="_Toc6359"/>
    </w:p>
    <w:tbl>
      <w:tblPr>
        <w:tblStyle w:val="21"/>
        <w:tblW w:w="8582" w:type="dxa"/>
        <w:tblInd w:w="0" w:type="dxa"/>
        <w:tblLayout w:type="fixed"/>
        <w:tblCellMar>
          <w:top w:w="0" w:type="dxa"/>
          <w:left w:w="108" w:type="dxa"/>
          <w:bottom w:w="0" w:type="dxa"/>
          <w:right w:w="108" w:type="dxa"/>
        </w:tblCellMar>
      </w:tblPr>
      <w:tblGrid>
        <w:gridCol w:w="4291"/>
        <w:gridCol w:w="4291"/>
      </w:tblGrid>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1" name="图片 6" descr="客户座谈会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客户座谈会91页"/>
                          <pic:cNvPicPr>
                            <a:picLocks noChangeAspect="1"/>
                          </pic:cNvPicPr>
                        </pic:nvPicPr>
                        <pic:blipFill>
                          <a:blip r:embed="rId16" cstate="print"/>
                          <a:stretch>
                            <a:fillRect/>
                          </a:stretch>
                        </pic:blipFill>
                        <pic:spPr>
                          <a:xfrm>
                            <a:off x="0" y="0"/>
                            <a:ext cx="2592070" cy="1727835"/>
                          </a:xfrm>
                          <a:prstGeom prst="rect">
                            <a:avLst/>
                          </a:prstGeom>
                        </pic:spPr>
                      </pic:pic>
                    </a:graphicData>
                  </a:graphic>
                </wp:inline>
              </w:drawing>
            </w:r>
          </w:p>
        </w:tc>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2" name="图片 7" descr="客户见面会圆满结束留影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客户见面会圆满结束留影91页"/>
                          <pic:cNvPicPr>
                            <a:picLocks noChangeAspect="1"/>
                          </pic:cNvPicPr>
                        </pic:nvPicPr>
                        <pic:blipFill>
                          <a:blip r:embed="rId17" cstate="print"/>
                          <a:stretch>
                            <a:fillRect/>
                          </a:stretch>
                        </pic:blipFill>
                        <pic:spPr>
                          <a:xfrm>
                            <a:off x="0" y="0"/>
                            <a:ext cx="2592070" cy="1727835"/>
                          </a:xfrm>
                          <a:prstGeom prst="rect">
                            <a:avLst/>
                          </a:prstGeom>
                        </pic:spPr>
                      </pic:pic>
                    </a:graphicData>
                  </a:graphic>
                </wp:inline>
              </w:drawing>
            </w:r>
          </w:p>
        </w:tc>
      </w:tr>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default"/>
                <w:highlight w:val="none"/>
                <w:lang w:val="en-US" w:eastAsia="zh-CN"/>
              </w:rPr>
            </w:pPr>
            <w:r>
              <w:rPr>
                <w:rFonts w:hint="eastAsia"/>
                <w:highlight w:val="none"/>
                <w:lang w:val="en-US" w:eastAsia="zh-CN"/>
              </w:rPr>
              <w:t>客户座谈会</w:t>
            </w:r>
          </w:p>
        </w:tc>
        <w:tc>
          <w:tcPr>
            <w:tcW w:w="4291" w:type="dxa"/>
            <w:noWrap w:val="0"/>
            <w:vAlign w:val="top"/>
          </w:tcPr>
          <w:p>
            <w:pPr>
              <w:pStyle w:val="29"/>
              <w:keepNext w:val="0"/>
              <w:keepLines w:val="0"/>
              <w:suppressLineNumbers w:val="0"/>
              <w:bidi w:val="0"/>
              <w:spacing w:before="0" w:beforeAutospacing="0" w:after="0" w:afterAutospacing="0"/>
              <w:ind w:left="0" w:right="0"/>
              <w:rPr>
                <w:rFonts w:hint="default"/>
                <w:highlight w:val="none"/>
                <w:lang w:val="en-US" w:eastAsia="zh-CN"/>
              </w:rPr>
            </w:pPr>
            <w:r>
              <w:rPr>
                <w:rFonts w:hint="default"/>
                <w:highlight w:val="none"/>
                <w:lang w:val="en-US" w:eastAsia="zh-CN"/>
              </w:rPr>
              <w:t>客户联谊会圆满结束</w:t>
            </w:r>
          </w:p>
        </w:tc>
      </w:tr>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109" name="图片 9" descr="客商参观我服务大厅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9" descr="客商参观我服务大厅91页"/>
                          <pic:cNvPicPr>
                            <a:picLocks noChangeAspect="1"/>
                          </pic:cNvPicPr>
                        </pic:nvPicPr>
                        <pic:blipFill>
                          <a:blip r:embed="rId18" cstate="print"/>
                          <a:stretch>
                            <a:fillRect/>
                          </a:stretch>
                        </pic:blipFill>
                        <pic:spPr>
                          <a:xfrm>
                            <a:off x="0" y="0"/>
                            <a:ext cx="2592070" cy="1727835"/>
                          </a:xfrm>
                          <a:prstGeom prst="rect">
                            <a:avLst/>
                          </a:prstGeom>
                        </pic:spPr>
                      </pic:pic>
                    </a:graphicData>
                  </a:graphic>
                </wp:inline>
              </w:drawing>
            </w:r>
          </w:p>
        </w:tc>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110" name="图片 10" descr="客商应邀参观装置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0" descr="客商应邀参观装置91页"/>
                          <pic:cNvPicPr>
                            <a:picLocks noChangeAspect="1"/>
                          </pic:cNvPicPr>
                        </pic:nvPicPr>
                        <pic:blipFill>
                          <a:blip r:embed="rId19" cstate="print"/>
                          <a:stretch>
                            <a:fillRect/>
                          </a:stretch>
                        </pic:blipFill>
                        <pic:spPr>
                          <a:xfrm>
                            <a:off x="0" y="0"/>
                            <a:ext cx="2592070" cy="1727835"/>
                          </a:xfrm>
                          <a:prstGeom prst="rect">
                            <a:avLst/>
                          </a:prstGeom>
                        </pic:spPr>
                      </pic:pic>
                    </a:graphicData>
                  </a:graphic>
                </wp:inline>
              </w:drawing>
            </w:r>
          </w:p>
        </w:tc>
      </w:tr>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lang w:val="en-US" w:eastAsia="zh-CN"/>
              </w:rPr>
            </w:pPr>
            <w:r>
              <w:rPr>
                <w:rFonts w:hint="eastAsia"/>
                <w:highlight w:val="none"/>
                <w:lang w:val="en-US" w:eastAsia="zh-CN"/>
              </w:rPr>
              <w:t>客户参观服务大厅</w:t>
            </w:r>
          </w:p>
        </w:tc>
        <w:tc>
          <w:tcPr>
            <w:tcW w:w="4291" w:type="dxa"/>
            <w:noWrap w:val="0"/>
            <w:vAlign w:val="top"/>
          </w:tcPr>
          <w:p>
            <w:pPr>
              <w:pStyle w:val="29"/>
              <w:keepNext w:val="0"/>
              <w:keepLines w:val="0"/>
              <w:suppressLineNumbers w:val="0"/>
              <w:bidi w:val="0"/>
              <w:spacing w:before="0" w:beforeAutospacing="0" w:after="0" w:afterAutospacing="0"/>
              <w:ind w:left="0" w:right="0"/>
              <w:rPr>
                <w:rFonts w:hint="default"/>
                <w:highlight w:val="none"/>
                <w:lang w:val="en-US" w:eastAsia="zh-CN"/>
              </w:rPr>
            </w:pPr>
            <w:r>
              <w:rPr>
                <w:rFonts w:hint="eastAsia"/>
                <w:highlight w:val="none"/>
                <w:lang w:val="en-US" w:eastAsia="zh-CN"/>
              </w:rPr>
              <w:t>客户参观装置</w:t>
            </w:r>
          </w:p>
        </w:tc>
      </w:tr>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12" name="图片 11" descr="为来宾普及安全知识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为来宾普及安全知识91页"/>
                          <pic:cNvPicPr>
                            <a:picLocks noChangeAspect="1"/>
                          </pic:cNvPicPr>
                        </pic:nvPicPr>
                        <pic:blipFill>
                          <a:blip r:embed="rId20" cstate="print"/>
                          <a:stretch>
                            <a:fillRect/>
                          </a:stretch>
                        </pic:blipFill>
                        <pic:spPr>
                          <a:xfrm>
                            <a:off x="0" y="0"/>
                            <a:ext cx="2592070" cy="1727835"/>
                          </a:xfrm>
                          <a:prstGeom prst="rect">
                            <a:avLst/>
                          </a:prstGeom>
                        </pic:spPr>
                      </pic:pic>
                    </a:graphicData>
                  </a:graphic>
                </wp:inline>
              </w:drawing>
            </w:r>
          </w:p>
        </w:tc>
        <w:tc>
          <w:tcPr>
            <w:tcW w:w="4291" w:type="dxa"/>
            <w:noWrap w:val="0"/>
            <w:vAlign w:val="top"/>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drawing>
                <wp:inline distT="0" distB="0" distL="114300" distR="114300">
                  <wp:extent cx="2592070" cy="1727835"/>
                  <wp:effectExtent l="0" t="0" r="17780" b="5715"/>
                  <wp:docPr id="111" name="图片 12" descr="现场解答客户疑惑9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2" descr="现场解答客户疑惑91页"/>
                          <pic:cNvPicPr>
                            <a:picLocks noChangeAspect="1"/>
                          </pic:cNvPicPr>
                        </pic:nvPicPr>
                        <pic:blipFill>
                          <a:blip r:embed="rId21" cstate="print"/>
                          <a:stretch>
                            <a:fillRect/>
                          </a:stretch>
                        </pic:blipFill>
                        <pic:spPr>
                          <a:xfrm>
                            <a:off x="0" y="0"/>
                            <a:ext cx="2592070" cy="1727835"/>
                          </a:xfrm>
                          <a:prstGeom prst="rect">
                            <a:avLst/>
                          </a:prstGeom>
                        </pic:spPr>
                      </pic:pic>
                    </a:graphicData>
                  </a:graphic>
                </wp:inline>
              </w:drawing>
            </w:r>
          </w:p>
        </w:tc>
      </w:tr>
      <w:tr>
        <w:tblPrEx>
          <w:tblCellMar>
            <w:top w:w="0" w:type="dxa"/>
            <w:left w:w="108" w:type="dxa"/>
            <w:bottom w:w="0" w:type="dxa"/>
            <w:right w:w="108" w:type="dxa"/>
          </w:tblCellMar>
        </w:tblPrEx>
        <w:trPr>
          <w:trHeight w:val="23" w:hRule="atLeast"/>
        </w:trPr>
        <w:tc>
          <w:tcPr>
            <w:tcW w:w="4291" w:type="dxa"/>
            <w:noWrap w:val="0"/>
            <w:vAlign w:val="top"/>
          </w:tcPr>
          <w:p>
            <w:pPr>
              <w:pStyle w:val="29"/>
              <w:keepNext w:val="0"/>
              <w:keepLines w:val="0"/>
              <w:suppressLineNumbers w:val="0"/>
              <w:bidi w:val="0"/>
              <w:spacing w:before="0" w:beforeAutospacing="0" w:after="0" w:afterAutospacing="0"/>
              <w:ind w:left="0" w:right="0"/>
              <w:rPr>
                <w:rFonts w:hint="default"/>
                <w:highlight w:val="none"/>
                <w:lang w:val="en-US" w:eastAsia="zh-CN"/>
              </w:rPr>
            </w:pPr>
            <w:r>
              <w:rPr>
                <w:rFonts w:hint="eastAsia"/>
                <w:highlight w:val="none"/>
                <w:lang w:val="en-US" w:eastAsia="zh-CN"/>
              </w:rPr>
              <w:t>对客户普及安全知识</w:t>
            </w:r>
          </w:p>
        </w:tc>
        <w:tc>
          <w:tcPr>
            <w:tcW w:w="4291" w:type="dxa"/>
            <w:noWrap w:val="0"/>
            <w:vAlign w:val="top"/>
          </w:tcPr>
          <w:p>
            <w:pPr>
              <w:pStyle w:val="29"/>
              <w:keepNext w:val="0"/>
              <w:keepLines w:val="0"/>
              <w:suppressLineNumbers w:val="0"/>
              <w:bidi w:val="0"/>
              <w:spacing w:before="0" w:beforeAutospacing="0" w:after="0" w:afterAutospacing="0"/>
              <w:ind w:left="0" w:right="0"/>
              <w:rPr>
                <w:rFonts w:hint="default"/>
                <w:highlight w:val="none"/>
                <w:lang w:val="en-US" w:eastAsia="zh-CN"/>
              </w:rPr>
            </w:pPr>
            <w:r>
              <w:rPr>
                <w:rFonts w:hint="eastAsia"/>
                <w:highlight w:val="none"/>
                <w:lang w:val="en-US" w:eastAsia="zh-CN"/>
              </w:rPr>
              <w:t>对客户现场答疑</w:t>
            </w:r>
          </w:p>
        </w:tc>
      </w:tr>
    </w:tbl>
    <w:p>
      <w:pPr>
        <w:pStyle w:val="10"/>
        <w:bidi w:val="0"/>
        <w:rPr>
          <w:rFonts w:hint="eastAsia"/>
          <w:highlight w:val="none"/>
          <w:lang w:val="en-US" w:eastAsia="zh-CN"/>
        </w:rPr>
      </w:pPr>
      <w:r>
        <w:rPr>
          <w:rFonts w:hint="eastAsia"/>
          <w:highlight w:val="none"/>
          <w:lang w:val="en-US" w:eastAsia="zh-CN"/>
        </w:rPr>
        <w:t>图6.2-1客户现场考察公司</w:t>
      </w:r>
    </w:p>
    <w:p>
      <w:pPr>
        <w:pStyle w:val="6"/>
        <w:keepNext/>
        <w:keepLines/>
        <w:pageBreakBefore w:val="0"/>
        <w:widowControl w:val="0"/>
        <w:numPr>
          <w:ilvl w:val="0"/>
          <w:numId w:val="0"/>
        </w:numPr>
        <w:kinsoku/>
        <w:wordWrap/>
        <w:overflowPunct/>
        <w:topLinePunct w:val="0"/>
        <w:autoSpaceDE/>
        <w:autoSpaceDN/>
        <w:bidi w:val="0"/>
        <w:adjustRightInd/>
        <w:snapToGrid/>
        <w:spacing w:before="0" w:beforeLines="0" w:after="0" w:afterLines="0"/>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3、以人为本，关心职工</w:t>
      </w:r>
    </w:p>
    <w:p>
      <w:pPr>
        <w:keepNext w:val="0"/>
        <w:keepLines w:val="0"/>
        <w:pageBreakBefore w:val="0"/>
        <w:widowControl w:val="0"/>
        <w:kinsoku/>
        <w:wordWrap/>
        <w:overflowPunct/>
        <w:topLinePunct w:val="0"/>
        <w:autoSpaceDE/>
        <w:autoSpaceDN/>
        <w:bidi w:val="0"/>
        <w:adjustRightInd/>
        <w:snapToGrid/>
        <w:textAlignment w:val="auto"/>
        <w:rPr>
          <w:rFonts w:hint="default"/>
          <w:highlight w:val="none"/>
          <w:lang w:val="en-US" w:eastAsia="zh-CN"/>
        </w:rPr>
      </w:pPr>
      <w:r>
        <w:rPr>
          <w:rFonts w:hint="eastAsia"/>
          <w:highlight w:val="none"/>
          <w:lang w:val="en-US" w:eastAsia="zh-CN"/>
        </w:rPr>
        <w:t>（1）关注员工职业健康与福利待遇</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rPr>
      </w:pPr>
      <w:r>
        <w:rPr>
          <w:rFonts w:hint="eastAsia"/>
          <w:highlight w:val="none"/>
        </w:rPr>
        <w:t>公司建立《员工休假制度》，为全体员工提供年假、节假日补贴、五险一金</w:t>
      </w:r>
      <w:r>
        <w:rPr>
          <w:rFonts w:hint="eastAsia"/>
          <w:highlight w:val="none"/>
          <w:lang w:eastAsia="zh-CN"/>
        </w:rPr>
        <w:t>、福利住房</w:t>
      </w:r>
      <w:r>
        <w:rPr>
          <w:rFonts w:hint="eastAsia"/>
          <w:highlight w:val="none"/>
        </w:rPr>
        <w:t>等福利。高度关注员工职业健康安全，执行OHSAS标准，实施员工休假制度和定期体检制度，对在辐射、有毒和高噪音</w:t>
      </w:r>
      <w:r>
        <w:rPr>
          <w:rFonts w:hint="eastAsia"/>
          <w:highlight w:val="none"/>
          <w:lang w:val="en-US" w:eastAsia="zh-CN"/>
        </w:rPr>
        <w:t>环境工作</w:t>
      </w:r>
      <w:r>
        <w:rPr>
          <w:rFonts w:hint="eastAsia"/>
          <w:highlight w:val="none"/>
        </w:rPr>
        <w:t>的员工给予特殊的健康和安全保护。通过职业危害因素控制评价，实施员工定期体检，多年来，无人员出现职业健康问题。</w:t>
      </w:r>
    </w:p>
    <w:p>
      <w:pPr>
        <w:ind w:firstLine="480"/>
        <w:rPr>
          <w:rFonts w:ascii="Times New Roman" w:hAnsi="Times New Roman" w:cs="Times New Roman"/>
          <w:highlight w:val="none"/>
        </w:rPr>
      </w:pPr>
      <w:r>
        <w:rPr>
          <w:rFonts w:hint="eastAsia" w:ascii="Times New Roman" w:hAnsi="Times New Roman" w:cs="Times New Roman"/>
          <w:highlight w:val="none"/>
        </w:rPr>
        <w:t>每年对特殊岗位员工进行体检，每月进行安全大检查，对发现的问题及时进行改进，确保员工职业健康安全，见图</w:t>
      </w:r>
      <w:r>
        <w:rPr>
          <w:rFonts w:hint="eastAsia" w:cs="Times New Roman"/>
          <w:highlight w:val="none"/>
          <w:lang w:val="en-US" w:eastAsia="zh-CN"/>
        </w:rPr>
        <w:t>6</w:t>
      </w:r>
      <w:r>
        <w:rPr>
          <w:rFonts w:hint="eastAsia" w:ascii="Times New Roman" w:hAnsi="Times New Roman" w:cs="Times New Roman"/>
          <w:highlight w:val="none"/>
        </w:rPr>
        <w:t>.</w:t>
      </w:r>
      <w:r>
        <w:rPr>
          <w:rFonts w:hint="eastAsia" w:cs="Times New Roman"/>
          <w:highlight w:val="none"/>
          <w:lang w:val="en-US" w:eastAsia="zh-CN"/>
        </w:rPr>
        <w:t>3</w:t>
      </w:r>
      <w:r>
        <w:rPr>
          <w:rFonts w:hint="eastAsia" w:ascii="Times New Roman" w:hAnsi="Times New Roman" w:cs="Times New Roman"/>
          <w:highlight w:val="none"/>
        </w:rPr>
        <w:t>-1。</w:t>
      </w: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default" w:ascii="Times New Roman" w:hAnsi="Times New Roman" w:eastAsia="仿宋" w:cs="Times New Roman"/>
                <w:kern w:val="0"/>
                <w:sz w:val="21"/>
                <w:szCs w:val="20"/>
                <w:highlight w:val="none"/>
                <w:lang w:val="en-US" w:eastAsia="zh-CN" w:bidi="ar-SA"/>
              </w:rPr>
              <w:drawing>
                <wp:inline distT="0" distB="0" distL="114300" distR="114300">
                  <wp:extent cx="2505075" cy="1800225"/>
                  <wp:effectExtent l="0" t="0" r="9525" b="9525"/>
                  <wp:docPr id="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
                          <pic:cNvPicPr>
                            <a:picLocks noChangeAspect="1"/>
                          </pic:cNvPicPr>
                        </pic:nvPicPr>
                        <pic:blipFill>
                          <a:blip r:embed="rId22"/>
                          <a:stretch>
                            <a:fillRect/>
                          </a:stretch>
                        </pic:blipFill>
                        <pic:spPr>
                          <a:xfrm>
                            <a:off x="0" y="0"/>
                            <a:ext cx="2505075" cy="1800225"/>
                          </a:xfrm>
                          <a:prstGeom prst="rect">
                            <a:avLst/>
                          </a:prstGeom>
                          <a:noFill/>
                          <a:ln>
                            <a:noFill/>
                          </a:ln>
                        </pic:spPr>
                      </pic:pic>
                    </a:graphicData>
                  </a:graphic>
                </wp:inline>
              </w:drawing>
            </w:r>
          </w:p>
        </w:tc>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default" w:ascii="Times New Roman" w:hAnsi="Times New Roman" w:eastAsia="仿宋" w:cs="Times New Roman"/>
                <w:kern w:val="0"/>
                <w:sz w:val="21"/>
                <w:szCs w:val="20"/>
                <w:highlight w:val="none"/>
                <w:lang w:val="en-US" w:eastAsia="zh-CN" w:bidi="ar-SA"/>
              </w:rPr>
              <w:drawing>
                <wp:inline distT="0" distB="0" distL="114300" distR="114300">
                  <wp:extent cx="2298700" cy="1803400"/>
                  <wp:effectExtent l="0" t="0" r="6350" b="6350"/>
                  <wp:docPr id="6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7"/>
                          <pic:cNvPicPr>
                            <a:picLocks noChangeAspect="1"/>
                          </pic:cNvPicPr>
                        </pic:nvPicPr>
                        <pic:blipFill>
                          <a:blip r:embed="rId23"/>
                          <a:stretch>
                            <a:fillRect/>
                          </a:stretch>
                        </pic:blipFill>
                        <pic:spPr>
                          <a:xfrm>
                            <a:off x="0" y="0"/>
                            <a:ext cx="2298700" cy="1803400"/>
                          </a:xfrm>
                          <a:prstGeom prst="rect">
                            <a:avLst/>
                          </a:prstGeom>
                          <a:noFill/>
                          <a:ln>
                            <a:noFill/>
                          </a:ln>
                        </pic:spPr>
                      </pic:pic>
                    </a:graphicData>
                  </a:graphic>
                </wp:inline>
              </w:drawing>
            </w:r>
          </w:p>
        </w:tc>
      </w:tr>
    </w:tbl>
    <w:p>
      <w:pPr>
        <w:pStyle w:val="2"/>
        <w:jc w:val="center"/>
        <w:rPr>
          <w:rFonts w:hint="eastAsia"/>
          <w:highlight w:val="none"/>
        </w:rPr>
      </w:pPr>
      <w:r>
        <w:rPr>
          <w:rFonts w:hint="eastAsia"/>
          <w:highlight w:val="none"/>
          <w:lang w:val="en-US" w:eastAsia="zh-CN"/>
        </w:rPr>
        <w:t>图6.3-1职业健康体检</w:t>
      </w:r>
    </w:p>
    <w:p>
      <w:pPr>
        <w:pStyle w:val="2"/>
        <w:keepNext w:val="0"/>
        <w:keepLines w:val="0"/>
        <w:pageBreakBefore w:val="0"/>
        <w:widowControl w:val="0"/>
        <w:kinsoku/>
        <w:wordWrap/>
        <w:overflowPunct/>
        <w:topLinePunct w:val="0"/>
        <w:autoSpaceDE/>
        <w:autoSpaceDN/>
        <w:bidi w:val="0"/>
        <w:adjustRightInd/>
        <w:snapToGrid/>
        <w:spacing w:after="0"/>
        <w:ind w:left="0" w:leftChars="0" w:firstLine="480" w:firstLineChars="200"/>
        <w:jc w:val="left"/>
        <w:textAlignment w:val="auto"/>
        <w:rPr>
          <w:rFonts w:hint="eastAsia" w:eastAsia="仿宋"/>
          <w:highlight w:val="none"/>
          <w:lang w:val="en-US" w:eastAsia="zh-CN"/>
        </w:rPr>
      </w:pPr>
      <w:r>
        <w:rPr>
          <w:rFonts w:hint="eastAsia"/>
          <w:highlight w:val="none"/>
          <w:lang w:val="en-US" w:eastAsia="zh-CN"/>
        </w:rPr>
        <w:t>（2）关注员工职业发展</w:t>
      </w:r>
    </w:p>
    <w:p>
      <w:pPr>
        <w:keepNext w:val="0"/>
        <w:keepLines w:val="0"/>
        <w:pageBreakBefore w:val="0"/>
        <w:widowControl w:val="0"/>
        <w:kinsoku/>
        <w:wordWrap/>
        <w:overflowPunct/>
        <w:topLinePunct w:val="0"/>
        <w:autoSpaceDE/>
        <w:autoSpaceDN/>
        <w:bidi w:val="0"/>
        <w:adjustRightInd/>
        <w:snapToGrid/>
        <w:ind w:firstLine="480"/>
        <w:textAlignment w:val="auto"/>
        <w:rPr>
          <w:rFonts w:hint="eastAsia" w:ascii="Times New Roman" w:hAnsi="Times New Roman" w:cs="Times New Roman"/>
          <w:highlight w:val="none"/>
        </w:rPr>
      </w:pPr>
      <w:r>
        <w:rPr>
          <w:rFonts w:hint="eastAsia" w:cs="Times New Roman"/>
          <w:highlight w:val="none"/>
          <w:lang w:eastAsia="zh-CN"/>
        </w:rPr>
        <w:t>新海石化</w:t>
      </w:r>
      <w:r>
        <w:rPr>
          <w:rFonts w:hint="eastAsia" w:ascii="Times New Roman" w:hAnsi="Times New Roman" w:cs="Times New Roman"/>
          <w:highlight w:val="none"/>
        </w:rPr>
        <w:t>坚持“内部培养为主，外部引进为辅”，“管理型培养和技术型培养”同步进行的原则，公司制定《后备人才建设管理标准》、《员工岗位晋级任职资格管理标准》、《员工职业生涯规划》、《职业经理人培养管理标准》，并以此为指导全面实施人才队伍梯队建设，把员工个人职业生涯和公司发展有机结合起来，创造灵活的人才选拔、任用、储备、培训、轮岗、考核等人才管理机制，满足公司不同发展阶段的用人需求。</w:t>
      </w:r>
    </w:p>
    <w:p>
      <w:pPr>
        <w:pStyle w:val="2"/>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eastAsia" w:eastAsia="仿宋"/>
          <w:highlight w:val="none"/>
          <w:lang w:val="en-US" w:eastAsia="zh-CN"/>
        </w:rPr>
      </w:pPr>
      <w:r>
        <w:rPr>
          <w:rFonts w:hint="eastAsia" w:cs="Times New Roman"/>
          <w:highlight w:val="none"/>
          <w:lang w:val="en-US" w:eastAsia="zh-CN"/>
        </w:rPr>
        <w:t>（3）关注特殊职工</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highlight w:val="none"/>
        </w:rPr>
      </w:pPr>
      <w:r>
        <w:rPr>
          <w:rFonts w:hint="eastAsia" w:ascii="Times New Roman" w:hAnsi="Times New Roman" w:cs="Times New Roman"/>
          <w:highlight w:val="none"/>
        </w:rPr>
        <w:t>公司还特别关注一些特殊群体的需求，如关注女性员工的工作环境、工作时间、工作强度以及长期性的职业发展、公平机会等因素；针对现在越来越多的80后、90后群体的</w:t>
      </w:r>
      <w:r>
        <w:rPr>
          <w:rFonts w:hint="eastAsia" w:cs="Times New Roman"/>
          <w:highlight w:val="none"/>
          <w:lang w:val="en-US" w:eastAsia="zh-CN"/>
        </w:rPr>
        <w:t>特性</w:t>
      </w:r>
      <w:r>
        <w:rPr>
          <w:rFonts w:hint="eastAsia" w:ascii="Times New Roman" w:hAnsi="Times New Roman" w:cs="Times New Roman"/>
          <w:highlight w:val="none"/>
        </w:rPr>
        <w:t>给予更多的关注，为其制定职业生涯规划，明确发展通道，开展专项培训，给予更高工作目标，提高其业务技能和个体素质。</w:t>
      </w:r>
    </w:p>
    <w:p>
      <w:pPr>
        <w:pStyle w:val="6"/>
        <w:keepNext/>
        <w:keepLines/>
        <w:pageBreakBefore w:val="0"/>
        <w:widowControl w:val="0"/>
        <w:kinsoku/>
        <w:wordWrap/>
        <w:overflowPunct/>
        <w:topLinePunct w:val="0"/>
        <w:autoSpaceDE/>
        <w:autoSpaceDN/>
        <w:bidi w:val="0"/>
        <w:adjustRightInd/>
        <w:snapToGrid/>
        <w:textAlignment w:val="auto"/>
        <w:outlineLvl w:val="0"/>
        <w:rPr>
          <w:rFonts w:hint="eastAsia"/>
          <w:sz w:val="28"/>
          <w:szCs w:val="28"/>
          <w:highlight w:val="none"/>
        </w:rPr>
      </w:pPr>
      <w:bookmarkStart w:id="28" w:name="_Toc30302"/>
      <w:r>
        <w:rPr>
          <w:rFonts w:hint="eastAsia"/>
          <w:sz w:val="28"/>
          <w:szCs w:val="28"/>
          <w:highlight w:val="none"/>
          <w:lang w:val="en-US" w:eastAsia="zh-CN"/>
        </w:rPr>
        <w:t>七、</w:t>
      </w:r>
      <w:r>
        <w:rPr>
          <w:rFonts w:hint="eastAsia"/>
          <w:sz w:val="28"/>
          <w:szCs w:val="28"/>
          <w:highlight w:val="none"/>
        </w:rPr>
        <w:t>公益支持</w:t>
      </w:r>
      <w:bookmarkEnd w:id="25"/>
      <w:bookmarkEnd w:id="26"/>
      <w:bookmarkEnd w:id="27"/>
      <w:bookmarkEnd w:id="28"/>
      <w:r>
        <w:rPr>
          <w:rFonts w:hint="eastAsia"/>
          <w:sz w:val="28"/>
          <w:szCs w:val="28"/>
          <w:highlight w:val="none"/>
        </w:rPr>
        <w:tab/>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rPr>
      </w:pPr>
      <w:r>
        <w:rPr>
          <w:rFonts w:hint="eastAsia"/>
          <w:highlight w:val="none"/>
          <w:lang w:eastAsia="zh-CN"/>
        </w:rPr>
        <w:t>新海石化</w:t>
      </w:r>
      <w:r>
        <w:rPr>
          <w:rFonts w:hint="eastAsia"/>
          <w:highlight w:val="none"/>
        </w:rPr>
        <w:t>长期以来注重培养员工的社会责任感，鼓励员工参与公益事业，积极参与社会公益性捐款。公司以积极的态度组织员工参加各类公益性活动，在公众场合展示公司的良好精神风貌，树立公司的公众形象。从感恩员工延伸到感恩社会，公司积极参与爱心捐赠、各项公益活动等。公司将“环境改善、教育事业、慈善捐助”三个领域确定为公益事业支持重点。高层多次参加到公益活动中去，在注资见义勇为基金、看望慰问敬老院老人、六一儿童节看望老师孩子、教师节慰问老师等众多活动中，都是带头参与，并带动社会上更多人参与到公益活动中来，见表</w:t>
      </w:r>
      <w:r>
        <w:rPr>
          <w:rFonts w:hint="eastAsia"/>
          <w:highlight w:val="none"/>
          <w:lang w:val="en-US" w:eastAsia="zh-CN"/>
        </w:rPr>
        <w:t>7.</w:t>
      </w:r>
      <w:r>
        <w:rPr>
          <w:rFonts w:hint="eastAsia"/>
          <w:highlight w:val="none"/>
        </w:rPr>
        <w:t>1-</w:t>
      </w:r>
      <w:r>
        <w:rPr>
          <w:rFonts w:hint="eastAsia"/>
          <w:highlight w:val="none"/>
          <w:lang w:val="en-US" w:eastAsia="zh-CN"/>
        </w:rPr>
        <w:t>1</w:t>
      </w:r>
      <w:r>
        <w:rPr>
          <w:rFonts w:hint="eastAsia"/>
          <w:highlight w:val="none"/>
        </w:rPr>
        <w:t>。</w:t>
      </w:r>
    </w:p>
    <w:p>
      <w:pPr>
        <w:widowControl w:val="0"/>
        <w:bidi w:val="0"/>
        <w:spacing w:before="50" w:beforeLines="50" w:line="240" w:lineRule="auto"/>
        <w:ind w:firstLine="0" w:firstLineChars="0"/>
        <w:jc w:val="center"/>
        <w:rPr>
          <w:rFonts w:hint="eastAsia" w:asciiTheme="majorEastAsia" w:hAnsiTheme="majorEastAsia" w:eastAsiaTheme="majorEastAsia" w:cstheme="majorEastAsia"/>
          <w:b/>
          <w:kern w:val="2"/>
          <w:sz w:val="21"/>
          <w:szCs w:val="24"/>
          <w:highlight w:val="none"/>
          <w:lang w:val="en-US" w:eastAsia="zh-CN" w:bidi="ar-SA"/>
        </w:rPr>
      </w:pPr>
      <w:r>
        <w:rPr>
          <w:rFonts w:hint="eastAsia" w:asciiTheme="majorEastAsia" w:hAnsiTheme="majorEastAsia" w:eastAsiaTheme="majorEastAsia" w:cstheme="majorEastAsia"/>
          <w:b/>
          <w:kern w:val="2"/>
          <w:sz w:val="21"/>
          <w:szCs w:val="24"/>
          <w:highlight w:val="none"/>
          <w:lang w:val="en-US" w:eastAsia="zh-CN" w:bidi="ar-SA"/>
        </w:rPr>
        <w:t>表7.1-1企业支持公益事业一览表</w:t>
      </w:r>
    </w:p>
    <w:tbl>
      <w:tblPr>
        <w:tblStyle w:val="21"/>
        <w:tblW w:w="8522" w:type="dxa"/>
        <w:tblInd w:w="0" w:type="dxa"/>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Layout w:type="fixed"/>
        <w:tblCellMar>
          <w:top w:w="57" w:type="dxa"/>
          <w:left w:w="108" w:type="dxa"/>
          <w:bottom w:w="57" w:type="dxa"/>
          <w:right w:w="108" w:type="dxa"/>
        </w:tblCellMar>
      </w:tblPr>
      <w:tblGrid>
        <w:gridCol w:w="1279"/>
        <w:gridCol w:w="3334"/>
        <w:gridCol w:w="1337"/>
        <w:gridCol w:w="2572"/>
      </w:tblGrid>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blHeader/>
        </w:trPr>
        <w:tc>
          <w:tcPr>
            <w:tcW w:w="1279"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公益支持</w:t>
            </w:r>
          </w:p>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重点领域</w:t>
            </w:r>
          </w:p>
        </w:tc>
        <w:tc>
          <w:tcPr>
            <w:tcW w:w="3334"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具体支持项目举例</w:t>
            </w:r>
          </w:p>
        </w:tc>
        <w:tc>
          <w:tcPr>
            <w:tcW w:w="1337"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额度（元）</w:t>
            </w:r>
          </w:p>
        </w:tc>
        <w:tc>
          <w:tcPr>
            <w:tcW w:w="2572" w:type="dxa"/>
            <w:tcBorders>
              <w:tl2br w:val="nil"/>
              <w:tr2bl w:val="nil"/>
            </w:tcBorders>
            <w:shd w:val="clear" w:color="auto" w:fill="E2EFDA" w:themeFill="accent6" w:themeFillTint="32"/>
            <w:vAlign w:val="center"/>
          </w:tcPr>
          <w:p>
            <w:pPr>
              <w:pStyle w:val="29"/>
              <w:keepNext w:val="0"/>
              <w:keepLines w:val="0"/>
              <w:suppressLineNumbers w:val="0"/>
              <w:bidi w:val="0"/>
              <w:spacing w:before="0" w:beforeAutospacing="0" w:after="0" w:afterAutospacing="0"/>
              <w:ind w:left="0" w:right="0"/>
              <w:rPr>
                <w:rFonts w:hint="eastAsia"/>
                <w:b/>
                <w:bCs/>
                <w:highlight w:val="none"/>
              </w:rPr>
            </w:pPr>
            <w:r>
              <w:rPr>
                <w:rFonts w:hint="eastAsia"/>
                <w:b/>
                <w:bCs/>
                <w:highlight w:val="none"/>
              </w:rPr>
              <w:t>公益支持重点领域理由</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环境改善</w:t>
            </w: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园区清污分流系统改造</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3500000</w:t>
            </w:r>
          </w:p>
        </w:tc>
        <w:tc>
          <w:tcPr>
            <w:tcW w:w="2572"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改善环境，助推江苏新一轮改革发展，体现</w:t>
            </w:r>
            <w:r>
              <w:rPr>
                <w:rFonts w:hint="eastAsia"/>
                <w:highlight w:val="none"/>
                <w:lang w:eastAsia="zh-CN"/>
              </w:rPr>
              <w:t>新海石化</w:t>
            </w:r>
            <w:r>
              <w:rPr>
                <w:rFonts w:hint="eastAsia"/>
                <w:highlight w:val="none"/>
              </w:rPr>
              <w:t>转型升级的决心</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赣榆区污水处理厂赞助</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5000000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环境科学学会捐助</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200000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赣榆区基础设施建设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12000000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教育事业</w:t>
            </w: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教师节慰问新城实验小学老师</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10000</w:t>
            </w:r>
          </w:p>
        </w:tc>
        <w:tc>
          <w:tcPr>
            <w:tcW w:w="2572"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整合教育资源，吸引、培养人才促进国家形象、地区形象提升，提高</w:t>
            </w:r>
            <w:r>
              <w:rPr>
                <w:rFonts w:hint="eastAsia"/>
                <w:highlight w:val="none"/>
                <w:lang w:eastAsia="zh-CN"/>
              </w:rPr>
              <w:t>新海石化</w:t>
            </w:r>
            <w:r>
              <w:rPr>
                <w:rFonts w:hint="eastAsia"/>
                <w:highlight w:val="none"/>
              </w:rPr>
              <w:t>品牌价值</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赞助曲阜师范大学孔子教育基金</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20000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柘汪中学捐赠笔记本电脑</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100000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赞助柘汪中学望海青少年俱乐部会费</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30000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爱心助教</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100000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教师节慰问老师</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50000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慈善捐助</w:t>
            </w: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向连云港慈善总会捐款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1000000</w:t>
            </w:r>
          </w:p>
        </w:tc>
        <w:tc>
          <w:tcPr>
            <w:tcW w:w="2572" w:type="dxa"/>
            <w:vMerge w:val="restart"/>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扶贫济困，抗灾救灾，提升企业综合形象，促进社会和谐</w:t>
            </w: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向赣榆见义勇为基金捐款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700000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大瓦沟村帮扶款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50000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柘汪镇农村五保户供养捐款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r>
              <w:rPr>
                <w:rFonts w:hint="eastAsia"/>
                <w:highlight w:val="none"/>
              </w:rPr>
              <w:t>30000</w:t>
            </w:r>
          </w:p>
        </w:tc>
        <w:tc>
          <w:tcPr>
            <w:tcW w:w="2572" w:type="dxa"/>
            <w:vMerge w:val="continue"/>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highlight w:val="none"/>
              </w:rPr>
            </w:pPr>
          </w:p>
        </w:tc>
      </w:tr>
      <w:tr>
        <w:tblPrEx>
          <w:tblBorders>
            <w:top w:val="single" w:color="009140" w:sz="12" w:space="0"/>
            <w:left w:val="single" w:color="009140" w:sz="12" w:space="0"/>
            <w:bottom w:val="single" w:color="009140" w:sz="12" w:space="0"/>
            <w:right w:val="single" w:color="009140" w:sz="12" w:space="0"/>
            <w:insideH w:val="single" w:color="009140" w:sz="4" w:space="0"/>
            <w:insideV w:val="single" w:color="009140" w:sz="4" w:space="0"/>
          </w:tblBorders>
          <w:tblCellMar>
            <w:top w:w="57" w:type="dxa"/>
            <w:left w:w="108" w:type="dxa"/>
            <w:bottom w:w="57" w:type="dxa"/>
            <w:right w:w="108" w:type="dxa"/>
          </w:tblCellMar>
        </w:tblPrEx>
        <w:trPr>
          <w:trHeight w:val="397" w:hRule="atLeast"/>
        </w:trPr>
        <w:tc>
          <w:tcPr>
            <w:tcW w:w="1279"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eastAsia="仿宋"/>
                <w:color w:val="FF0000"/>
                <w:highlight w:val="none"/>
                <w:lang w:eastAsia="zh-CN"/>
              </w:rPr>
            </w:pPr>
            <w:r>
              <w:rPr>
                <w:rFonts w:hint="eastAsia"/>
                <w:color w:val="FF0000"/>
                <w:highlight w:val="none"/>
                <w:lang w:eastAsia="zh-CN"/>
              </w:rPr>
              <w:t>医疗卫生</w:t>
            </w:r>
          </w:p>
        </w:tc>
        <w:tc>
          <w:tcPr>
            <w:tcW w:w="3334"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eastAsia="仿宋"/>
                <w:color w:val="FF0000"/>
                <w:highlight w:val="none"/>
                <w:lang w:eastAsia="zh-CN"/>
              </w:rPr>
            </w:pPr>
            <w:r>
              <w:rPr>
                <w:rFonts w:hint="eastAsia"/>
                <w:color w:val="FF0000"/>
                <w:highlight w:val="none"/>
                <w:lang w:eastAsia="zh-CN"/>
              </w:rPr>
              <w:t>新冠疫情捐款</w:t>
            </w:r>
          </w:p>
        </w:tc>
        <w:tc>
          <w:tcPr>
            <w:tcW w:w="1337"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default" w:eastAsia="仿宋"/>
                <w:color w:val="FF0000"/>
                <w:highlight w:val="none"/>
                <w:lang w:val="en-US" w:eastAsia="zh-CN"/>
              </w:rPr>
            </w:pPr>
            <w:r>
              <w:rPr>
                <w:rFonts w:hint="eastAsia"/>
                <w:color w:val="FF0000"/>
                <w:highlight w:val="none"/>
                <w:lang w:val="en-US" w:eastAsia="zh-CN"/>
              </w:rPr>
              <w:t>2000000</w:t>
            </w:r>
          </w:p>
        </w:tc>
        <w:tc>
          <w:tcPr>
            <w:tcW w:w="2572" w:type="dxa"/>
            <w:tcBorders>
              <w:tl2br w:val="nil"/>
              <w:tr2bl w:val="nil"/>
            </w:tcBorders>
            <w:shd w:val="clear" w:color="auto" w:fill="auto"/>
            <w:vAlign w:val="center"/>
          </w:tcPr>
          <w:p>
            <w:pPr>
              <w:pStyle w:val="29"/>
              <w:keepNext w:val="0"/>
              <w:keepLines w:val="0"/>
              <w:suppressLineNumbers w:val="0"/>
              <w:bidi w:val="0"/>
              <w:spacing w:before="0" w:beforeAutospacing="0" w:after="0" w:afterAutospacing="0"/>
              <w:ind w:left="0" w:right="0"/>
              <w:rPr>
                <w:rFonts w:hint="eastAsia" w:eastAsia="仿宋"/>
                <w:color w:val="FF0000"/>
                <w:highlight w:val="none"/>
                <w:lang w:eastAsia="zh-CN"/>
              </w:rPr>
            </w:pPr>
            <w:r>
              <w:rPr>
                <w:rFonts w:hint="eastAsia"/>
                <w:color w:val="FF0000"/>
                <w:highlight w:val="none"/>
                <w:lang w:eastAsia="zh-CN"/>
              </w:rPr>
              <w:t>支持援助当地抗击新冠疫情，保证当地居民身体健康</w:t>
            </w:r>
          </w:p>
        </w:tc>
      </w:tr>
    </w:tbl>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pStyle w:val="29"/>
              <w:keepNext w:val="0"/>
              <w:keepLines w:val="0"/>
              <w:suppressLineNumbers w:val="0"/>
              <w:bidi w:val="0"/>
              <w:spacing w:before="0" w:beforeAutospacing="0" w:after="0" w:afterAutospacing="0"/>
              <w:ind w:left="0" w:right="0"/>
              <w:rPr>
                <w:rFonts w:hint="eastAsia"/>
                <w:highlight w:val="none"/>
              </w:rPr>
            </w:pPr>
            <w:bookmarkStart w:id="29" w:name="_Toc2318"/>
          </w:p>
        </w:tc>
      </w:tr>
    </w:tbl>
    <w:p>
      <w:pPr>
        <w:rPr>
          <w:rFonts w:ascii="Times New Roman" w:hAnsi="Times New Roman" w:cs="Times New Roman"/>
          <w:highlight w:val="none"/>
        </w:rPr>
      </w:pPr>
      <w:r>
        <w:rPr>
          <w:rFonts w:hint="eastAsia" w:ascii="Times New Roman" w:hAnsi="Times New Roman" w:cs="Times New Roman"/>
          <w:highlight w:val="none"/>
        </w:rPr>
        <w:t>以上多种举措不但保障了不同员工群体的权益，针对不同群体，提供针对性、个性化和多样化的支持，实现员工帮困机制的全面覆盖，还为社会公众带去温暖和关怀，见图</w:t>
      </w:r>
      <w:r>
        <w:rPr>
          <w:rFonts w:hint="eastAsia" w:cs="Times New Roman"/>
          <w:highlight w:val="none"/>
          <w:lang w:val="en-US" w:eastAsia="zh-CN"/>
        </w:rPr>
        <w:t>7.1</w:t>
      </w:r>
      <w:r>
        <w:rPr>
          <w:rFonts w:hint="eastAsia" w:ascii="Times New Roman" w:hAnsi="Times New Roman" w:cs="Times New Roman"/>
          <w:highlight w:val="none"/>
        </w:rPr>
        <w:t>-</w:t>
      </w:r>
      <w:r>
        <w:rPr>
          <w:rFonts w:hint="eastAsia" w:cs="Times New Roman"/>
          <w:highlight w:val="none"/>
          <w:lang w:val="en-US" w:eastAsia="zh-CN"/>
        </w:rPr>
        <w:t>1</w:t>
      </w:r>
      <w:r>
        <w:rPr>
          <w:rFonts w:hint="eastAsia" w:ascii="Times New Roman" w:hAnsi="Times New Roman" w:cs="Times New Roman"/>
          <w:highlight w:val="none"/>
        </w:rPr>
        <w:t>。</w:t>
      </w:r>
    </w:p>
    <w:tbl>
      <w:tblPr>
        <w:tblStyle w:val="22"/>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bookmarkStart w:id="30" w:name="_Toc480033218"/>
            <w:bookmarkStart w:id="31" w:name="_Toc480048895"/>
            <w:r>
              <w:rPr>
                <w:rFonts w:hint="default" w:ascii="Times New Roman" w:hAnsi="Times New Roman" w:eastAsia="仿宋" w:cs="Times New Roman"/>
                <w:kern w:val="0"/>
                <w:sz w:val="21"/>
                <w:szCs w:val="20"/>
                <w:highlight w:val="none"/>
                <w:lang w:val="en-US" w:eastAsia="zh-CN" w:bidi="ar-SA"/>
              </w:rPr>
              <w:drawing>
                <wp:inline distT="0" distB="0" distL="114300" distR="114300">
                  <wp:extent cx="2566035" cy="1819275"/>
                  <wp:effectExtent l="0" t="0" r="5715" b="9525"/>
                  <wp:docPr id="17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25"/>
                          <pic:cNvPicPr>
                            <a:picLocks noChangeAspect="1"/>
                          </pic:cNvPicPr>
                        </pic:nvPicPr>
                        <pic:blipFill>
                          <a:blip r:embed="rId24"/>
                          <a:stretch>
                            <a:fillRect/>
                          </a:stretch>
                        </pic:blipFill>
                        <pic:spPr>
                          <a:xfrm>
                            <a:off x="0" y="0"/>
                            <a:ext cx="2566035" cy="1819275"/>
                          </a:xfrm>
                          <a:prstGeom prst="rect">
                            <a:avLst/>
                          </a:prstGeom>
                          <a:noFill/>
                          <a:ln>
                            <a:noFill/>
                          </a:ln>
                        </pic:spPr>
                      </pic:pic>
                    </a:graphicData>
                  </a:graphic>
                </wp:inline>
              </w:drawing>
            </w:r>
          </w:p>
        </w:tc>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default" w:ascii="Times New Roman" w:hAnsi="Times New Roman" w:eastAsia="仿宋" w:cs="Times New Roman"/>
                <w:kern w:val="0"/>
                <w:sz w:val="21"/>
                <w:szCs w:val="20"/>
                <w:highlight w:val="none"/>
                <w:lang w:val="en-US" w:eastAsia="zh-CN" w:bidi="ar-SA"/>
              </w:rPr>
              <w:drawing>
                <wp:inline distT="0" distB="0" distL="114300" distR="114300">
                  <wp:extent cx="2566670" cy="1793875"/>
                  <wp:effectExtent l="0" t="0" r="5080" b="15875"/>
                  <wp:docPr id="17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26"/>
                          <pic:cNvPicPr>
                            <a:picLocks noChangeAspect="1"/>
                          </pic:cNvPicPr>
                        </pic:nvPicPr>
                        <pic:blipFill>
                          <a:blip r:embed="rId25"/>
                          <a:stretch>
                            <a:fillRect/>
                          </a:stretch>
                        </pic:blipFill>
                        <pic:spPr>
                          <a:xfrm>
                            <a:off x="0" y="0"/>
                            <a:ext cx="2566670" cy="179387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eastAsia" w:ascii="Times New Roman" w:hAnsi="Times New Roman" w:eastAsia="仿宋" w:cs="Times New Roman"/>
                <w:kern w:val="0"/>
                <w:sz w:val="21"/>
                <w:szCs w:val="20"/>
                <w:highlight w:val="none"/>
                <w:lang w:val="en-US" w:eastAsia="zh-CN" w:bidi="ar-SA"/>
              </w:rPr>
              <w:t>捐助见义勇为基金</w:t>
            </w:r>
          </w:p>
        </w:tc>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eastAsia" w:ascii="Times New Roman" w:hAnsi="Times New Roman" w:eastAsia="仿宋" w:cs="Times New Roman"/>
                <w:kern w:val="0"/>
                <w:sz w:val="21"/>
                <w:szCs w:val="20"/>
                <w:highlight w:val="none"/>
                <w:lang w:val="en-US" w:eastAsia="zh-CN" w:bidi="ar-SA"/>
              </w:rPr>
              <w:t>关爱学生成长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default" w:ascii="Times New Roman" w:hAnsi="Times New Roman" w:eastAsia="仿宋" w:cs="Times New Roman"/>
                <w:kern w:val="0"/>
                <w:sz w:val="21"/>
                <w:szCs w:val="20"/>
                <w:highlight w:val="none"/>
                <w:lang w:val="en-US" w:eastAsia="zh-CN" w:bidi="ar-SA"/>
              </w:rPr>
              <w:drawing>
                <wp:inline distT="0" distB="0" distL="114300" distR="114300">
                  <wp:extent cx="2567940" cy="1660525"/>
                  <wp:effectExtent l="0" t="0" r="3810" b="15875"/>
                  <wp:docPr id="17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3"/>
                          <pic:cNvPicPr>
                            <a:picLocks noChangeAspect="1"/>
                          </pic:cNvPicPr>
                        </pic:nvPicPr>
                        <pic:blipFill>
                          <a:blip r:embed="rId26"/>
                          <a:stretch>
                            <a:fillRect/>
                          </a:stretch>
                        </pic:blipFill>
                        <pic:spPr>
                          <a:xfrm>
                            <a:off x="0" y="0"/>
                            <a:ext cx="2567940" cy="1660525"/>
                          </a:xfrm>
                          <a:prstGeom prst="rect">
                            <a:avLst/>
                          </a:prstGeom>
                          <a:noFill/>
                          <a:ln>
                            <a:noFill/>
                          </a:ln>
                        </pic:spPr>
                      </pic:pic>
                    </a:graphicData>
                  </a:graphic>
                </wp:inline>
              </w:drawing>
            </w:r>
          </w:p>
        </w:tc>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default" w:ascii="Times New Roman" w:hAnsi="Times New Roman" w:eastAsia="仿宋" w:cs="Times New Roman"/>
                <w:kern w:val="0"/>
                <w:sz w:val="21"/>
                <w:szCs w:val="20"/>
                <w:highlight w:val="none"/>
                <w:lang w:val="en-US" w:eastAsia="zh-CN" w:bidi="ar-SA"/>
              </w:rPr>
              <w:drawing>
                <wp:inline distT="0" distB="0" distL="114300" distR="114300">
                  <wp:extent cx="2567305" cy="1678305"/>
                  <wp:effectExtent l="0" t="0" r="4445" b="17145"/>
                  <wp:docPr id="17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4"/>
                          <pic:cNvPicPr>
                            <a:picLocks noChangeAspect="1"/>
                          </pic:cNvPicPr>
                        </pic:nvPicPr>
                        <pic:blipFill>
                          <a:blip r:embed="rId27"/>
                          <a:stretch>
                            <a:fillRect/>
                          </a:stretch>
                        </pic:blipFill>
                        <pic:spPr>
                          <a:xfrm>
                            <a:off x="0" y="0"/>
                            <a:ext cx="2567305" cy="167830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eastAsia" w:ascii="Times New Roman" w:hAnsi="Times New Roman" w:eastAsia="仿宋" w:cs="Times New Roman"/>
                <w:kern w:val="0"/>
                <w:sz w:val="21"/>
                <w:szCs w:val="20"/>
                <w:highlight w:val="none"/>
                <w:lang w:val="en-US" w:eastAsia="zh-CN" w:bidi="ar-SA"/>
              </w:rPr>
              <w:t>关爱老人</w:t>
            </w:r>
          </w:p>
        </w:tc>
        <w:tc>
          <w:tcPr>
            <w:tcW w:w="4261" w:type="dxa"/>
            <w:vAlign w:val="center"/>
          </w:tcPr>
          <w:p>
            <w:pPr>
              <w:keepNext w:val="0"/>
              <w:keepLines w:val="0"/>
              <w:widowControl/>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仿宋" w:cs="Times New Roman"/>
                <w:kern w:val="0"/>
                <w:sz w:val="21"/>
                <w:szCs w:val="20"/>
                <w:highlight w:val="none"/>
                <w:lang w:val="en-US" w:eastAsia="zh-CN" w:bidi="ar-SA"/>
              </w:rPr>
            </w:pPr>
            <w:r>
              <w:rPr>
                <w:rFonts w:hint="eastAsia" w:ascii="Times New Roman" w:hAnsi="Times New Roman" w:eastAsia="仿宋" w:cs="Times New Roman"/>
                <w:kern w:val="0"/>
                <w:sz w:val="21"/>
                <w:szCs w:val="20"/>
                <w:highlight w:val="none"/>
                <w:lang w:val="en-US" w:eastAsia="zh-CN" w:bidi="ar-SA"/>
              </w:rPr>
              <w:t>义务献血</w:t>
            </w:r>
          </w:p>
        </w:tc>
      </w:tr>
    </w:tbl>
    <w:p>
      <w:pPr>
        <w:pStyle w:val="10"/>
        <w:bidi w:val="0"/>
        <w:rPr>
          <w:rFonts w:hint="eastAsia"/>
          <w:highlight w:val="none"/>
          <w:lang w:val="en-US" w:eastAsia="zh-CN"/>
        </w:rPr>
      </w:pPr>
    </w:p>
    <w:p>
      <w:pPr>
        <w:pStyle w:val="10"/>
        <w:bidi w:val="0"/>
        <w:rPr>
          <w:rFonts w:hint="eastAsia"/>
          <w:highlight w:val="none"/>
          <w:lang w:val="en-US" w:eastAsia="zh-CN"/>
        </w:rPr>
      </w:pPr>
      <w:r>
        <w:rPr>
          <w:rFonts w:hint="eastAsia"/>
          <w:highlight w:val="none"/>
          <w:lang w:val="en-US" w:eastAsia="zh-CN"/>
        </w:rPr>
        <w:t>图7.1-</w:t>
      </w:r>
      <w:bookmarkEnd w:id="30"/>
      <w:bookmarkEnd w:id="31"/>
      <w:r>
        <w:rPr>
          <w:rFonts w:hint="eastAsia"/>
          <w:highlight w:val="none"/>
          <w:lang w:val="en-US" w:eastAsia="zh-CN"/>
        </w:rPr>
        <w:t>1社会公益活动</w:t>
      </w:r>
    </w:p>
    <w:p>
      <w:pPr>
        <w:rPr>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67" w:beforeLines="50" w:after="167" w:afterLines="50" w:line="240" w:lineRule="auto"/>
        <w:ind w:left="0" w:leftChars="0" w:firstLine="0" w:firstLineChars="0"/>
        <w:textAlignment w:val="auto"/>
        <w:outlineLvl w:val="0"/>
        <w:rPr>
          <w:rFonts w:hint="eastAsia" w:ascii="黑体" w:hAnsi="黑体" w:eastAsia="黑体" w:cs="黑体"/>
          <w:sz w:val="28"/>
          <w:szCs w:val="28"/>
          <w:highlight w:val="none"/>
          <w:lang w:eastAsia="zh-CN"/>
        </w:rPr>
      </w:pPr>
      <w:r>
        <w:rPr>
          <w:rFonts w:hint="eastAsia" w:ascii="黑体" w:hAnsi="黑体" w:eastAsia="黑体" w:cs="黑体"/>
          <w:sz w:val="28"/>
          <w:szCs w:val="28"/>
          <w:highlight w:val="none"/>
          <w:lang w:eastAsia="zh-CN"/>
        </w:rPr>
        <w:t>八、主要社会责任指标</w:t>
      </w:r>
      <w:bookmarkEnd w:id="29"/>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201</w:t>
      </w:r>
      <w:r>
        <w:rPr>
          <w:rFonts w:hint="eastAsia" w:ascii="仿宋" w:hAnsi="仿宋" w:cs="仿宋"/>
          <w:highlight w:val="none"/>
          <w:lang w:val="en-US" w:eastAsia="zh-CN"/>
        </w:rPr>
        <w:t>7</w:t>
      </w:r>
      <w:r>
        <w:rPr>
          <w:rFonts w:hint="eastAsia" w:ascii="仿宋" w:hAnsi="仿宋" w:eastAsia="仿宋" w:cs="仿宋"/>
          <w:highlight w:val="none"/>
          <w:lang w:val="en-US" w:eastAsia="zh-CN"/>
        </w:rPr>
        <w:t>-201</w:t>
      </w:r>
      <w:r>
        <w:rPr>
          <w:rFonts w:hint="eastAsia" w:ascii="仿宋" w:hAnsi="仿宋" w:cs="仿宋"/>
          <w:highlight w:val="none"/>
          <w:lang w:val="en-US" w:eastAsia="zh-CN"/>
        </w:rPr>
        <w:t>9</w:t>
      </w:r>
      <w:r>
        <w:rPr>
          <w:rFonts w:hint="eastAsia" w:ascii="仿宋" w:hAnsi="仿宋" w:eastAsia="仿宋" w:cs="仿宋"/>
          <w:highlight w:val="none"/>
          <w:lang w:val="en-US" w:eastAsia="zh-CN"/>
        </w:rPr>
        <w:t>年江苏新海石化主要社会指标如下表，各项社会责任均处预国内行业前列。</w:t>
      </w:r>
    </w:p>
    <w:tbl>
      <w:tblPr>
        <w:tblStyle w:val="2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8"/>
        <w:gridCol w:w="1317"/>
        <w:gridCol w:w="1094"/>
        <w:gridCol w:w="453"/>
        <w:gridCol w:w="1248"/>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6" w:type="dxa"/>
            <w:gridSpan w:val="6"/>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snapToGrid w:val="0"/>
                <w:color w:val="auto"/>
                <w:kern w:val="0"/>
                <w:sz w:val="21"/>
                <w:szCs w:val="21"/>
                <w:highlight w:val="none"/>
                <w:lang w:val="en-US" w:eastAsia="zh-CN" w:bidi="ar-SA"/>
              </w:rPr>
              <w:t>主要安全指标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安全项目</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7</w:t>
            </w:r>
            <w:r>
              <w:rPr>
                <w:rFonts w:hint="eastAsia" w:ascii="仿宋" w:hAnsi="仿宋" w:eastAsia="仿宋" w:cs="仿宋"/>
                <w:color w:val="auto"/>
                <w:sz w:val="21"/>
                <w:szCs w:val="21"/>
                <w:highlight w:val="none"/>
              </w:rPr>
              <w:t>年</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8</w:t>
            </w:r>
            <w:r>
              <w:rPr>
                <w:rFonts w:hint="eastAsia" w:ascii="仿宋" w:hAnsi="仿宋" w:eastAsia="仿宋" w:cs="仿宋"/>
                <w:color w:val="auto"/>
                <w:sz w:val="21"/>
                <w:szCs w:val="21"/>
                <w:highlight w:val="none"/>
              </w:rPr>
              <w:t>年</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9</w:t>
            </w:r>
            <w:r>
              <w:rPr>
                <w:rFonts w:hint="eastAsia" w:ascii="仿宋" w:hAnsi="仿宋" w:eastAsia="仿宋" w:cs="仿宋"/>
                <w:color w:val="auto"/>
                <w:sz w:val="21"/>
                <w:szCs w:val="21"/>
                <w:highlight w:val="none"/>
              </w:rPr>
              <w:t>年</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国内行业排名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亡人事故</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重大火灾事故</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重大设备事故</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一般事故隐患整改率</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6" w:type="dxa"/>
            <w:gridSpan w:val="6"/>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snapToGrid w:val="0"/>
                <w:color w:val="auto"/>
                <w:kern w:val="0"/>
                <w:sz w:val="21"/>
                <w:szCs w:val="21"/>
                <w:highlight w:val="none"/>
                <w:lang w:val="en-US" w:eastAsia="zh-CN" w:bidi="ar-SA"/>
              </w:rPr>
              <w:t>主要环保和节能指标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环保和节能减排项目</w:t>
            </w:r>
          </w:p>
        </w:tc>
        <w:tc>
          <w:tcPr>
            <w:tcW w:w="1317" w:type="dxa"/>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7</w:t>
            </w:r>
            <w:r>
              <w:rPr>
                <w:rFonts w:hint="eastAsia" w:ascii="仿宋" w:hAnsi="仿宋" w:eastAsia="仿宋" w:cs="仿宋"/>
                <w:color w:val="auto"/>
                <w:sz w:val="21"/>
                <w:szCs w:val="21"/>
                <w:highlight w:val="none"/>
              </w:rPr>
              <w:t>年</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8</w:t>
            </w:r>
            <w:r>
              <w:rPr>
                <w:rFonts w:hint="eastAsia" w:ascii="仿宋" w:hAnsi="仿宋" w:eastAsia="仿宋" w:cs="仿宋"/>
                <w:color w:val="auto"/>
                <w:sz w:val="21"/>
                <w:szCs w:val="21"/>
                <w:highlight w:val="none"/>
              </w:rPr>
              <w:t>年</w:t>
            </w:r>
          </w:p>
        </w:tc>
        <w:tc>
          <w:tcPr>
            <w:tcW w:w="1248" w:type="dxa"/>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9</w:t>
            </w:r>
            <w:r>
              <w:rPr>
                <w:rFonts w:hint="eastAsia" w:ascii="仿宋" w:hAnsi="仿宋" w:eastAsia="仿宋" w:cs="仿宋"/>
                <w:color w:val="auto"/>
                <w:sz w:val="21"/>
                <w:szCs w:val="21"/>
                <w:highlight w:val="none"/>
              </w:rPr>
              <w:t>年</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国内行业排名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重大环境污染事故</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未发生</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有毒有害废弃物处理</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万元综合能耗</w:t>
            </w:r>
          </w:p>
        </w:tc>
        <w:tc>
          <w:tcPr>
            <w:tcW w:w="1317"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0.186</w:t>
            </w:r>
          </w:p>
        </w:tc>
        <w:tc>
          <w:tcPr>
            <w:tcW w:w="1547"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0.182</w:t>
            </w:r>
          </w:p>
        </w:tc>
        <w:tc>
          <w:tcPr>
            <w:tcW w:w="124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0.172</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前列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6" w:type="dxa"/>
            <w:gridSpan w:val="6"/>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snapToGrid w:val="0"/>
                <w:color w:val="auto"/>
                <w:kern w:val="0"/>
                <w:sz w:val="21"/>
                <w:szCs w:val="21"/>
                <w:highlight w:val="none"/>
                <w:lang w:val="en-US" w:eastAsia="zh-CN" w:bidi="ar-SA"/>
              </w:rPr>
              <w:t>公益支持指标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tcBorders>
              <w:tl2br w:val="single" w:color="auto" w:sz="4" w:space="0"/>
            </w:tcBorders>
            <w:shd w:val="clear" w:color="auto" w:fill="auto"/>
            <w:vAlign w:val="center"/>
          </w:tcPr>
          <w:p>
            <w:pPr>
              <w:pStyle w:val="29"/>
              <w:keepNext w:val="0"/>
              <w:keepLines w:val="0"/>
              <w:suppressLineNumbers w:val="0"/>
              <w:bidi w:val="0"/>
              <w:spacing w:before="0" w:beforeAutospacing="0" w:after="0" w:afterAutospacing="0"/>
              <w:ind w:left="0" w:right="0"/>
              <w:jc w:val="righ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费用</w:t>
            </w:r>
          </w:p>
          <w:p>
            <w:pPr>
              <w:pStyle w:val="29"/>
              <w:keepNext w:val="0"/>
              <w:keepLines w:val="0"/>
              <w:suppressLineNumbers w:val="0"/>
              <w:bidi w:val="0"/>
              <w:spacing w:before="0" w:beforeAutospacing="0" w:after="0" w:afterAutospacing="0"/>
              <w:ind w:left="0" w:right="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支持领域</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7</w:t>
            </w:r>
            <w:r>
              <w:rPr>
                <w:rFonts w:hint="eastAsia" w:ascii="仿宋" w:hAnsi="仿宋" w:eastAsia="仿宋" w:cs="仿宋"/>
                <w:color w:val="auto"/>
                <w:sz w:val="21"/>
                <w:szCs w:val="21"/>
                <w:highlight w:val="none"/>
              </w:rPr>
              <w:t>年</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8</w:t>
            </w:r>
            <w:r>
              <w:rPr>
                <w:rFonts w:hint="eastAsia" w:ascii="仿宋" w:hAnsi="仿宋" w:eastAsia="仿宋" w:cs="仿宋"/>
                <w:color w:val="auto"/>
                <w:sz w:val="21"/>
                <w:szCs w:val="21"/>
                <w:highlight w:val="none"/>
              </w:rPr>
              <w:t>年</w:t>
            </w:r>
          </w:p>
        </w:tc>
        <w:tc>
          <w:tcPr>
            <w:tcW w:w="1946" w:type="dxa"/>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9</w:t>
            </w:r>
            <w:r>
              <w:rPr>
                <w:rFonts w:hint="eastAsia" w:ascii="仿宋" w:hAnsi="仿宋" w:eastAsia="仿宋" w:cs="仿宋"/>
                <w:color w:val="auto"/>
                <w:sz w:val="21"/>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环境改善</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3500000</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5200000</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12000000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教育事业</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50000</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160000</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慈善捐助</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80000</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1200000</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6" w:type="dxa"/>
            <w:gridSpan w:val="6"/>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snapToGrid w:val="0"/>
                <w:color w:val="auto"/>
                <w:kern w:val="0"/>
                <w:sz w:val="21"/>
                <w:szCs w:val="21"/>
                <w:highlight w:val="none"/>
                <w:lang w:val="en-US" w:eastAsia="zh-CN" w:bidi="ar-SA"/>
              </w:rPr>
              <w:t>诚信建设情况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相关项目</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7</w:t>
            </w:r>
            <w:r>
              <w:rPr>
                <w:rFonts w:hint="eastAsia" w:ascii="仿宋" w:hAnsi="仿宋" w:eastAsia="仿宋" w:cs="仿宋"/>
                <w:color w:val="auto"/>
                <w:sz w:val="21"/>
                <w:szCs w:val="21"/>
                <w:highlight w:val="none"/>
              </w:rPr>
              <w:t>年</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8</w:t>
            </w:r>
            <w:r>
              <w:rPr>
                <w:rFonts w:hint="eastAsia" w:ascii="仿宋" w:hAnsi="仿宋" w:eastAsia="仿宋" w:cs="仿宋"/>
                <w:color w:val="auto"/>
                <w:sz w:val="21"/>
                <w:szCs w:val="21"/>
                <w:highlight w:val="none"/>
              </w:rPr>
              <w:t>年</w:t>
            </w:r>
          </w:p>
        </w:tc>
        <w:tc>
          <w:tcPr>
            <w:tcW w:w="1946" w:type="dxa"/>
            <w:shd w:val="clear" w:color="auto" w:fill="auto"/>
            <w:vAlign w:val="center"/>
          </w:tcPr>
          <w:p>
            <w:pPr>
              <w:pStyle w:val="29"/>
              <w:keepNext w:val="0"/>
              <w:keepLines w:val="0"/>
              <w:suppressLineNumbers w:val="0"/>
              <w:bidi w:val="0"/>
              <w:spacing w:before="0" w:beforeAutospacing="0" w:after="0" w:afterAutospacing="0"/>
              <w:ind w:left="0" w:leftChars="0" w:right="0" w:rightChars="0"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w:t>
            </w:r>
            <w:r>
              <w:rPr>
                <w:rFonts w:hint="eastAsia" w:ascii="仿宋" w:hAnsi="仿宋" w:cs="仿宋"/>
                <w:color w:val="auto"/>
                <w:sz w:val="21"/>
                <w:szCs w:val="21"/>
                <w:highlight w:val="none"/>
                <w:lang w:val="en-US" w:eastAsia="zh-CN"/>
              </w:rPr>
              <w:t>9</w:t>
            </w:r>
            <w:r>
              <w:rPr>
                <w:rFonts w:hint="eastAsia" w:ascii="仿宋" w:hAnsi="仿宋" w:eastAsia="仿宋" w:cs="仿宋"/>
                <w:color w:val="auto"/>
                <w:sz w:val="21"/>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纳税信用等级</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28"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质量信用等级</w:t>
            </w:r>
          </w:p>
        </w:tc>
        <w:tc>
          <w:tcPr>
            <w:tcW w:w="241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AA</w:t>
            </w:r>
          </w:p>
        </w:tc>
        <w:tc>
          <w:tcPr>
            <w:tcW w:w="1701" w:type="dxa"/>
            <w:gridSpan w:val="2"/>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AA</w:t>
            </w:r>
          </w:p>
        </w:tc>
        <w:tc>
          <w:tcPr>
            <w:tcW w:w="1946" w:type="dxa"/>
            <w:shd w:val="clear" w:color="auto" w:fill="auto"/>
            <w:vAlign w:val="center"/>
          </w:tcPr>
          <w:p>
            <w:pPr>
              <w:pStyle w:val="29"/>
              <w:keepNext w:val="0"/>
              <w:keepLines w:val="0"/>
              <w:suppressLineNumbers w:val="0"/>
              <w:bidi w:val="0"/>
              <w:spacing w:before="0" w:beforeAutospacing="0" w:after="0" w:afterAutospacing="0"/>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AAA</w:t>
            </w:r>
          </w:p>
        </w:tc>
      </w:tr>
    </w:tbl>
    <w:p>
      <w:pPr>
        <w:keepNext w:val="0"/>
        <w:keepLines w:val="0"/>
        <w:pageBreakBefore w:val="0"/>
        <w:widowControl w:val="0"/>
        <w:kinsoku/>
        <w:wordWrap/>
        <w:overflowPunct/>
        <w:topLinePunct w:val="0"/>
        <w:autoSpaceDE w:val="0"/>
        <w:autoSpaceDN w:val="0"/>
        <w:bidi w:val="0"/>
        <w:adjustRightInd/>
        <w:snapToGrid w:val="0"/>
        <w:spacing w:line="300" w:lineRule="auto"/>
        <w:ind w:firstLine="0" w:firstLineChars="0"/>
        <w:textAlignment w:val="auto"/>
        <w:rPr>
          <w:rFonts w:hint="eastAsia" w:ascii="仿宋" w:hAnsi="仿宋" w:eastAsia="仿宋" w:cs="仿宋"/>
          <w:snapToGrid w:val="0"/>
          <w:spacing w:val="-4"/>
          <w:kern w:val="0"/>
          <w:sz w:val="24"/>
          <w:szCs w:val="22"/>
          <w:highlight w:val="none"/>
        </w:rPr>
      </w:pPr>
      <w:r>
        <w:rPr>
          <w:rFonts w:hint="eastAsia" w:ascii="仿宋" w:hAnsi="仿宋" w:eastAsia="仿宋" w:cs="仿宋"/>
          <w:snapToGrid w:val="0"/>
          <w:spacing w:val="-4"/>
          <w:kern w:val="0"/>
          <w:sz w:val="24"/>
          <w:szCs w:val="22"/>
          <w:highlight w:val="none"/>
        </w:rPr>
        <w:t>注: 安全、环保、节能等指标按行业要求项目填写，并提供相关证实性材料。</w:t>
      </w:r>
    </w:p>
    <w:p>
      <w:pPr>
        <w:pStyle w:val="6"/>
        <w:keepNext/>
        <w:keepLines/>
        <w:pageBreakBefore w:val="0"/>
        <w:widowControl w:val="0"/>
        <w:numPr>
          <w:ilvl w:val="0"/>
          <w:numId w:val="3"/>
        </w:numPr>
        <w:kinsoku/>
        <w:wordWrap/>
        <w:overflowPunct/>
        <w:topLinePunct w:val="0"/>
        <w:autoSpaceDE/>
        <w:autoSpaceDN/>
        <w:bidi w:val="0"/>
        <w:adjustRightInd/>
        <w:snapToGrid/>
        <w:textAlignment w:val="auto"/>
        <w:outlineLvl w:val="0"/>
        <w:rPr>
          <w:rFonts w:hint="eastAsia" w:ascii="Times New Roman" w:hAnsi="Times New Roman" w:eastAsia="黑体" w:cs="Times New Roman"/>
          <w:kern w:val="2"/>
          <w:sz w:val="28"/>
          <w:szCs w:val="28"/>
          <w:highlight w:val="none"/>
          <w:lang w:val="en-US" w:eastAsia="zh-CN" w:bidi="ar-SA"/>
        </w:rPr>
      </w:pPr>
      <w:bookmarkStart w:id="32" w:name="_Toc2946"/>
      <w:r>
        <w:rPr>
          <w:rFonts w:hint="eastAsia" w:ascii="Times New Roman" w:hAnsi="Times New Roman" w:eastAsia="黑体" w:cs="Times New Roman"/>
          <w:kern w:val="2"/>
          <w:sz w:val="28"/>
          <w:szCs w:val="28"/>
          <w:highlight w:val="none"/>
          <w:lang w:val="en-US" w:eastAsia="zh-CN" w:bidi="ar-SA"/>
        </w:rPr>
        <w:t>结束语</w:t>
      </w:r>
      <w:bookmarkEnd w:id="32"/>
    </w:p>
    <w:p>
      <w:pPr>
        <w:pStyle w:val="6"/>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300" w:lineRule="auto"/>
        <w:ind w:firstLine="480" w:firstLineChars="200"/>
        <w:textAlignment w:val="auto"/>
        <w:outlineLvl w:val="0"/>
        <w:rPr>
          <w:rFonts w:hint="eastAsia" w:ascii="仿宋" w:hAnsi="仿宋" w:eastAsia="仿宋" w:cs="仿宋"/>
          <w:highlight w:val="none"/>
        </w:rPr>
      </w:pPr>
      <w:bookmarkStart w:id="33" w:name="_Toc3662"/>
      <w:r>
        <w:rPr>
          <w:rFonts w:hint="eastAsia" w:ascii="仿宋" w:hAnsi="仿宋" w:eastAsia="仿宋" w:cs="仿宋"/>
          <w:highlight w:val="none"/>
        </w:rPr>
        <w:t>公司将以更高效的管理、领先的技术、优质的产品、良好的信誉，继续秉承“质量为先、满意客户、开拓创新、持续改进”质量理念和“遵纪守法、预防污染、节约资源、持续改善”的环保理念力争成为世界一流的大型石化企业。一如既往的承担应尽的社会责任，公司在追求经济效益、相关方利益的同时，继续加强职工合法权益保护，加强职业技能培训，积极参与社会公益事业，保护环境，以实际行动回报社会，为促进社会和谐及公司可持续发展作出更大的贡献。</w:t>
      </w:r>
      <w:bookmarkEnd w:id="33"/>
    </w:p>
    <w:p>
      <w:pPr>
        <w:pStyle w:val="6"/>
        <w:keepNext/>
        <w:keepLines/>
        <w:pageBreakBefore w:val="0"/>
        <w:widowControl w:val="0"/>
        <w:numPr>
          <w:ilvl w:val="0"/>
          <w:numId w:val="0"/>
        </w:numPr>
        <w:kinsoku/>
        <w:wordWrap/>
        <w:overflowPunct/>
        <w:topLinePunct w:val="0"/>
        <w:autoSpaceDE/>
        <w:autoSpaceDN/>
        <w:bidi w:val="0"/>
        <w:adjustRightInd/>
        <w:snapToGrid/>
        <w:textAlignment w:val="auto"/>
        <w:outlineLvl w:val="0"/>
        <w:rPr>
          <w:rFonts w:hint="default"/>
          <w:highlight w:val="none"/>
          <w:lang w:val="en-US" w:eastAsia="zh-CN"/>
        </w:rPr>
      </w:pPr>
    </w:p>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eastAsia="宋体"/>
        <w:lang w:eastAsia="zh-CN"/>
      </w:rPr>
    </w:pPr>
  </w:p>
  <w:p>
    <w:pPr>
      <w:pStyle w:val="15"/>
      <w:jc w:val="center"/>
      <w:rPr>
        <w:rFonts w:hint="eastAsia" w:eastAsia="宋体"/>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eastAsia="宋体"/>
        <w:lang w:eastAsia="zh-CN"/>
      </w:rPr>
    </w:pPr>
  </w:p>
  <w:p>
    <w:pPr>
      <w:pStyle w:val="15"/>
      <w:jc w:val="center"/>
      <w:rPr>
        <w:rFonts w:hint="eastAsia" w:eastAsia="宋体"/>
        <w:lang w:eastAsia="zh-CN"/>
      </w:rPr>
    </w:pPr>
    <w:r>
      <w:rPr>
        <w:sz w:val="21"/>
      </w:rPr>
      <mc:AlternateContent>
        <mc:Choice Requires="wps">
          <w:drawing>
            <wp:anchor distT="0" distB="0" distL="114300" distR="114300" simplePos="0" relativeHeight="6322995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6322995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5"/>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225</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firstLineChars="200"/>
      <w:rPr>
        <w:rFonts w:hint="eastAsia" w:eastAsia="宋体"/>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0" w:firstLineChars="0"/>
      <w:jc w:val="both"/>
      <w:rPr>
        <w:rFonts w:hint="eastAsia"/>
        <w:sz w:val="21"/>
        <w:szCs w:val="21"/>
      </w:rPr>
    </w:pPr>
    <w:r>
      <w:rPr>
        <w:rFonts w:hint="eastAsia"/>
        <w:sz w:val="21"/>
        <w:szCs w:val="21"/>
        <w:lang w:eastAsia="zh-CN"/>
      </w:rPr>
      <w:drawing>
        <wp:anchor distT="0" distB="0" distL="114300" distR="114300" simplePos="0" relativeHeight="474921984" behindDoc="0" locked="0" layoutInCell="1" allowOverlap="1">
          <wp:simplePos x="0" y="0"/>
          <wp:positionH relativeFrom="column">
            <wp:posOffset>45720</wp:posOffset>
          </wp:positionH>
          <wp:positionV relativeFrom="paragraph">
            <wp:posOffset>13335</wp:posOffset>
          </wp:positionV>
          <wp:extent cx="190500" cy="297815"/>
          <wp:effectExtent l="0" t="0" r="0" b="6985"/>
          <wp:wrapNone/>
          <wp:docPr id="31" name="图片 31" descr="微信图片_20190813112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微信图片_20190813112850"/>
                  <pic:cNvPicPr>
                    <a:picLocks noChangeAspect="1"/>
                  </pic:cNvPicPr>
                </pic:nvPicPr>
                <pic:blipFill>
                  <a:blip r:embed="rId1"/>
                  <a:srcRect l="40762" t="24648" r="40557" b="41268"/>
                  <a:stretch>
                    <a:fillRect/>
                  </a:stretch>
                </pic:blipFill>
                <pic:spPr>
                  <a:xfrm>
                    <a:off x="0" y="0"/>
                    <a:ext cx="190500" cy="297815"/>
                  </a:xfrm>
                  <a:prstGeom prst="rect">
                    <a:avLst/>
                  </a:prstGeom>
                </pic:spPr>
              </pic:pic>
            </a:graphicData>
          </a:graphic>
        </wp:anchor>
      </w:drawing>
    </w:r>
    <w:r>
      <w:rPr>
        <w:rFonts w:hint="eastAsia"/>
        <w:sz w:val="21"/>
        <w:szCs w:val="21"/>
      </w:rPr>
      <w:t xml:space="preserve"> </w:t>
    </w:r>
  </w:p>
  <w:p>
    <w:pPr>
      <w:pStyle w:val="16"/>
      <w:jc w:val="both"/>
      <w:rPr>
        <w:sz w:val="21"/>
        <w:szCs w:val="21"/>
      </w:rPr>
    </w:pPr>
    <w:r>
      <w:rPr>
        <w:rFonts w:hint="eastAsia"/>
        <w:sz w:val="21"/>
        <w:szCs w:val="21"/>
      </w:rPr>
      <w:t>江苏新海石化有限公司</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sdt>
      <w:sdtPr>
        <w:rPr>
          <w:rFonts w:hint="eastAsia"/>
          <w:sz w:val="21"/>
          <w:szCs w:val="21"/>
          <w:lang w:val="en-US" w:eastAsia="zh-CN"/>
        </w:rPr>
        <w:id w:val="171361177"/>
        <w:showingPlcHdr/>
      </w:sdtPr>
      <w:sdtEndPr>
        <w:rPr>
          <w:rFonts w:hint="eastAsia"/>
          <w:sz w:val="21"/>
          <w:szCs w:val="21"/>
          <w:lang w:val="en-US" w:eastAsia="zh-CN"/>
        </w:rPr>
      </w:sdtEndP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503DF0"/>
    <w:multiLevelType w:val="singleLevel"/>
    <w:tmpl w:val="BD503DF0"/>
    <w:lvl w:ilvl="0" w:tentative="0">
      <w:start w:val="4"/>
      <w:numFmt w:val="decimal"/>
      <w:suff w:val="nothing"/>
      <w:lvlText w:val="%1、"/>
      <w:lvlJc w:val="left"/>
    </w:lvl>
  </w:abstractNum>
  <w:abstractNum w:abstractNumId="1">
    <w:nsid w:val="D1D6B9C0"/>
    <w:multiLevelType w:val="singleLevel"/>
    <w:tmpl w:val="D1D6B9C0"/>
    <w:lvl w:ilvl="0" w:tentative="0">
      <w:start w:val="1"/>
      <w:numFmt w:val="chineseCounting"/>
      <w:suff w:val="nothing"/>
      <w:lvlText w:val="%1、"/>
      <w:lvlJc w:val="left"/>
      <w:rPr>
        <w:rFonts w:hint="eastAsia"/>
      </w:rPr>
    </w:lvl>
  </w:abstractNum>
  <w:abstractNum w:abstractNumId="2">
    <w:nsid w:val="2906C6DE"/>
    <w:multiLevelType w:val="singleLevel"/>
    <w:tmpl w:val="2906C6DE"/>
    <w:lvl w:ilvl="0" w:tentative="0">
      <w:start w:val="9"/>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HorizontalSpacing w:val="240"/>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5264E"/>
    <w:rsid w:val="00B301E5"/>
    <w:rsid w:val="017B17AD"/>
    <w:rsid w:val="01A50B1E"/>
    <w:rsid w:val="01DD6D3F"/>
    <w:rsid w:val="03167C0F"/>
    <w:rsid w:val="04545257"/>
    <w:rsid w:val="04992D44"/>
    <w:rsid w:val="04F7303D"/>
    <w:rsid w:val="05821751"/>
    <w:rsid w:val="059A02E9"/>
    <w:rsid w:val="05A22572"/>
    <w:rsid w:val="06406537"/>
    <w:rsid w:val="0698004F"/>
    <w:rsid w:val="06BA7A09"/>
    <w:rsid w:val="078C56AE"/>
    <w:rsid w:val="07AF19D0"/>
    <w:rsid w:val="07CA0F37"/>
    <w:rsid w:val="0844726D"/>
    <w:rsid w:val="089C0605"/>
    <w:rsid w:val="08C538D3"/>
    <w:rsid w:val="09BA076A"/>
    <w:rsid w:val="09F03668"/>
    <w:rsid w:val="0A3F62B9"/>
    <w:rsid w:val="0A536102"/>
    <w:rsid w:val="0B041297"/>
    <w:rsid w:val="0C882D45"/>
    <w:rsid w:val="0C926E5A"/>
    <w:rsid w:val="0CBE6D0B"/>
    <w:rsid w:val="0CC76BB1"/>
    <w:rsid w:val="0D08386F"/>
    <w:rsid w:val="0E353BF3"/>
    <w:rsid w:val="0E886A52"/>
    <w:rsid w:val="0F4637EC"/>
    <w:rsid w:val="0FF072D8"/>
    <w:rsid w:val="138D5F5F"/>
    <w:rsid w:val="15F531C7"/>
    <w:rsid w:val="17286CD0"/>
    <w:rsid w:val="188C64FE"/>
    <w:rsid w:val="19C7756D"/>
    <w:rsid w:val="1A4E1757"/>
    <w:rsid w:val="1A715D39"/>
    <w:rsid w:val="1A71630D"/>
    <w:rsid w:val="1CC57FF6"/>
    <w:rsid w:val="1F234B11"/>
    <w:rsid w:val="200D0AD0"/>
    <w:rsid w:val="20851D3C"/>
    <w:rsid w:val="218A5767"/>
    <w:rsid w:val="22B11B9B"/>
    <w:rsid w:val="22EA68BD"/>
    <w:rsid w:val="23C74335"/>
    <w:rsid w:val="24862AFA"/>
    <w:rsid w:val="251B630B"/>
    <w:rsid w:val="256E7262"/>
    <w:rsid w:val="2584444E"/>
    <w:rsid w:val="25AC2C19"/>
    <w:rsid w:val="25FF03B8"/>
    <w:rsid w:val="26AB5DE2"/>
    <w:rsid w:val="27525BB8"/>
    <w:rsid w:val="279350CF"/>
    <w:rsid w:val="28234C46"/>
    <w:rsid w:val="28581136"/>
    <w:rsid w:val="28811AE9"/>
    <w:rsid w:val="28DE4176"/>
    <w:rsid w:val="29894D68"/>
    <w:rsid w:val="299B631D"/>
    <w:rsid w:val="2B1322B3"/>
    <w:rsid w:val="2B363A31"/>
    <w:rsid w:val="2C142565"/>
    <w:rsid w:val="2C635F0D"/>
    <w:rsid w:val="2D374173"/>
    <w:rsid w:val="2D3C3AC1"/>
    <w:rsid w:val="2E4C74A8"/>
    <w:rsid w:val="2EC72C0F"/>
    <w:rsid w:val="2ED922DE"/>
    <w:rsid w:val="2EED160A"/>
    <w:rsid w:val="2F944D61"/>
    <w:rsid w:val="30E535F7"/>
    <w:rsid w:val="31E21840"/>
    <w:rsid w:val="31EB604B"/>
    <w:rsid w:val="33B145C8"/>
    <w:rsid w:val="34185561"/>
    <w:rsid w:val="34B97490"/>
    <w:rsid w:val="36625400"/>
    <w:rsid w:val="36E231FD"/>
    <w:rsid w:val="36FD5F77"/>
    <w:rsid w:val="370A5E97"/>
    <w:rsid w:val="384C5CD0"/>
    <w:rsid w:val="38997A19"/>
    <w:rsid w:val="38C503A5"/>
    <w:rsid w:val="39706A35"/>
    <w:rsid w:val="397776B6"/>
    <w:rsid w:val="39E36F51"/>
    <w:rsid w:val="3BB61A3C"/>
    <w:rsid w:val="3C047D38"/>
    <w:rsid w:val="3D1E05AA"/>
    <w:rsid w:val="3D6F431B"/>
    <w:rsid w:val="3F01115F"/>
    <w:rsid w:val="3F0E702B"/>
    <w:rsid w:val="41104B4C"/>
    <w:rsid w:val="41E553DB"/>
    <w:rsid w:val="42AF0EFF"/>
    <w:rsid w:val="42B63F26"/>
    <w:rsid w:val="442C04EE"/>
    <w:rsid w:val="46706B2F"/>
    <w:rsid w:val="468313B9"/>
    <w:rsid w:val="469E518A"/>
    <w:rsid w:val="46D05237"/>
    <w:rsid w:val="47122FF8"/>
    <w:rsid w:val="473A50DC"/>
    <w:rsid w:val="47525C04"/>
    <w:rsid w:val="47AD6141"/>
    <w:rsid w:val="4831086F"/>
    <w:rsid w:val="49332FA8"/>
    <w:rsid w:val="498B4D14"/>
    <w:rsid w:val="4A211A03"/>
    <w:rsid w:val="4A3D5592"/>
    <w:rsid w:val="4A795A17"/>
    <w:rsid w:val="4AAA674C"/>
    <w:rsid w:val="4B3505B4"/>
    <w:rsid w:val="4BAC38AF"/>
    <w:rsid w:val="4BDB39D4"/>
    <w:rsid w:val="4C1F5B96"/>
    <w:rsid w:val="4C4C2CCD"/>
    <w:rsid w:val="4D0C7D21"/>
    <w:rsid w:val="4E1D59C7"/>
    <w:rsid w:val="4EC96AE9"/>
    <w:rsid w:val="4ECA3B0F"/>
    <w:rsid w:val="4F19141F"/>
    <w:rsid w:val="4F3E7604"/>
    <w:rsid w:val="50207800"/>
    <w:rsid w:val="51AF4A71"/>
    <w:rsid w:val="51B052AE"/>
    <w:rsid w:val="520D3958"/>
    <w:rsid w:val="534F14A9"/>
    <w:rsid w:val="54216F35"/>
    <w:rsid w:val="55DC0C82"/>
    <w:rsid w:val="56512D02"/>
    <w:rsid w:val="57DB2D2A"/>
    <w:rsid w:val="58F422A0"/>
    <w:rsid w:val="58FB582E"/>
    <w:rsid w:val="5929258B"/>
    <w:rsid w:val="59AA531B"/>
    <w:rsid w:val="59C01E76"/>
    <w:rsid w:val="59D2491E"/>
    <w:rsid w:val="5A2D186D"/>
    <w:rsid w:val="5A70177A"/>
    <w:rsid w:val="5AE47A1D"/>
    <w:rsid w:val="5AEF0D4F"/>
    <w:rsid w:val="5BD10CDB"/>
    <w:rsid w:val="5DC827F9"/>
    <w:rsid w:val="5E986FB2"/>
    <w:rsid w:val="5EBA2A75"/>
    <w:rsid w:val="5F315A5B"/>
    <w:rsid w:val="5F81604D"/>
    <w:rsid w:val="600B2CE9"/>
    <w:rsid w:val="605B66B5"/>
    <w:rsid w:val="60666BB9"/>
    <w:rsid w:val="61004730"/>
    <w:rsid w:val="61026127"/>
    <w:rsid w:val="6129689E"/>
    <w:rsid w:val="6232514A"/>
    <w:rsid w:val="638B3BEC"/>
    <w:rsid w:val="64F70CFB"/>
    <w:rsid w:val="65457A2C"/>
    <w:rsid w:val="657D607C"/>
    <w:rsid w:val="660C30A3"/>
    <w:rsid w:val="684756E3"/>
    <w:rsid w:val="68AC7429"/>
    <w:rsid w:val="68C576CF"/>
    <w:rsid w:val="69BC4E80"/>
    <w:rsid w:val="6B630121"/>
    <w:rsid w:val="6BA3018E"/>
    <w:rsid w:val="6BD153E2"/>
    <w:rsid w:val="6C201925"/>
    <w:rsid w:val="6C294871"/>
    <w:rsid w:val="6C625156"/>
    <w:rsid w:val="6C793BDA"/>
    <w:rsid w:val="6C934207"/>
    <w:rsid w:val="6CC533A6"/>
    <w:rsid w:val="6D9A7F55"/>
    <w:rsid w:val="6E0A28C5"/>
    <w:rsid w:val="6EB1597E"/>
    <w:rsid w:val="6ECC28A4"/>
    <w:rsid w:val="703061C3"/>
    <w:rsid w:val="70C04C5B"/>
    <w:rsid w:val="720D5D73"/>
    <w:rsid w:val="727B7E9F"/>
    <w:rsid w:val="73AF480E"/>
    <w:rsid w:val="73F80738"/>
    <w:rsid w:val="74032D42"/>
    <w:rsid w:val="74650D3A"/>
    <w:rsid w:val="74EF00BC"/>
    <w:rsid w:val="760E4AAC"/>
    <w:rsid w:val="76A035D8"/>
    <w:rsid w:val="79756086"/>
    <w:rsid w:val="7B0B5953"/>
    <w:rsid w:val="7D63122B"/>
    <w:rsid w:val="7D7D0621"/>
    <w:rsid w:val="7DE03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600" w:firstLineChars="200"/>
      <w:jc w:val="both"/>
    </w:pPr>
    <w:rPr>
      <w:rFonts w:ascii="Times New Roman" w:hAnsi="Times New Roman" w:eastAsia="仿宋" w:cs="Times New Roman"/>
      <w:kern w:val="2"/>
      <w:sz w:val="24"/>
      <w:szCs w:val="24"/>
      <w:lang w:val="en-US" w:eastAsia="zh-CN" w:bidi="ar-SA"/>
    </w:rPr>
  </w:style>
  <w:style w:type="paragraph" w:styleId="4">
    <w:name w:val="heading 1"/>
    <w:basedOn w:val="1"/>
    <w:next w:val="1"/>
    <w:link w:val="27"/>
    <w:qFormat/>
    <w:uiPriority w:val="0"/>
    <w:pPr>
      <w:keepNext/>
      <w:keepLines/>
      <w:spacing w:before="50" w:beforeLines="50" w:beforeAutospacing="0" w:after="50" w:afterLines="50" w:afterAutospacing="0" w:line="240" w:lineRule="auto"/>
      <w:ind w:firstLine="0" w:firstLineChars="0"/>
      <w:outlineLvl w:val="0"/>
    </w:pPr>
    <w:rPr>
      <w:rFonts w:eastAsia="黑体"/>
      <w:kern w:val="44"/>
      <w:sz w:val="30"/>
    </w:rPr>
  </w:style>
  <w:style w:type="paragraph" w:styleId="5">
    <w:name w:val="heading 2"/>
    <w:basedOn w:val="1"/>
    <w:next w:val="1"/>
    <w:unhideWhenUsed/>
    <w:qFormat/>
    <w:uiPriority w:val="0"/>
    <w:pPr>
      <w:keepNext/>
      <w:keepLines/>
      <w:spacing w:before="50" w:beforeLines="50" w:beforeAutospacing="0" w:after="50" w:afterLines="50" w:afterAutospacing="0" w:line="240" w:lineRule="auto"/>
      <w:ind w:firstLine="0" w:firstLineChars="0"/>
      <w:outlineLvl w:val="1"/>
    </w:pPr>
    <w:rPr>
      <w:rFonts w:ascii="Times New Roman" w:hAnsi="Times New Roman" w:eastAsia="黑体"/>
    </w:rPr>
  </w:style>
  <w:style w:type="paragraph" w:styleId="6">
    <w:name w:val="heading 3"/>
    <w:basedOn w:val="1"/>
    <w:next w:val="1"/>
    <w:unhideWhenUsed/>
    <w:qFormat/>
    <w:uiPriority w:val="0"/>
    <w:pPr>
      <w:keepNext/>
      <w:keepLines/>
      <w:spacing w:before="50" w:beforeLines="50" w:beforeAutospacing="0" w:after="50" w:afterLines="50" w:afterAutospacing="0" w:line="240" w:lineRule="auto"/>
      <w:ind w:firstLine="0" w:firstLineChars="0"/>
      <w:outlineLvl w:val="2"/>
    </w:pPr>
    <w:rPr>
      <w:rFonts w:ascii="Times New Roman" w:hAnsi="Times New Roman" w:eastAsia="黑体"/>
    </w:rPr>
  </w:style>
  <w:style w:type="paragraph" w:styleId="7">
    <w:name w:val="heading 4"/>
    <w:basedOn w:val="1"/>
    <w:next w:val="1"/>
    <w:unhideWhenUsed/>
    <w:qFormat/>
    <w:uiPriority w:val="0"/>
    <w:pPr>
      <w:keepNext/>
      <w:keepLines/>
      <w:spacing w:before="50" w:beforeLines="50" w:beforeAutospacing="0" w:afterLines="0" w:afterAutospacing="0" w:line="240" w:lineRule="auto"/>
      <w:ind w:firstLine="0" w:firstLineChars="0"/>
      <w:outlineLvl w:val="3"/>
    </w:pPr>
  </w:style>
  <w:style w:type="paragraph" w:styleId="8">
    <w:name w:val="heading 5"/>
    <w:basedOn w:val="1"/>
    <w:next w:val="1"/>
    <w:unhideWhenUsed/>
    <w:qFormat/>
    <w:uiPriority w:val="0"/>
    <w:pPr>
      <w:keepNext/>
      <w:keepLines/>
      <w:spacing w:before="50" w:beforeLines="50" w:beforeAutospacing="0" w:afterLines="0" w:afterAutospacing="0" w:line="240" w:lineRule="auto"/>
      <w:ind w:firstLine="640"/>
      <w:outlineLvl w:val="4"/>
    </w:pPr>
  </w:style>
  <w:style w:type="paragraph" w:styleId="9">
    <w:name w:val="heading 6"/>
    <w:basedOn w:val="1"/>
    <w:next w:val="1"/>
    <w:unhideWhenUsed/>
    <w:qFormat/>
    <w:uiPriority w:val="0"/>
    <w:pPr>
      <w:keepNext/>
      <w:keepLines/>
      <w:spacing w:beforeLines="0" w:beforeAutospacing="0" w:afterLines="0" w:afterAutospacing="0" w:line="300" w:lineRule="auto"/>
      <w:ind w:firstLine="640"/>
      <w:outlineLvl w:val="5"/>
    </w:pPr>
    <w:rPr>
      <w:rFonts w:ascii="Times New Roman" w:hAnsi="Times New Roman" w:eastAsia="仿宋"/>
    </w:rPr>
  </w:style>
  <w:style w:type="character" w:default="1" w:styleId="24">
    <w:name w:val="Default Paragraph Font"/>
    <w:semiHidden/>
    <w:qFormat/>
    <w:uiPriority w:val="0"/>
  </w:style>
  <w:style w:type="table" w:default="1" w:styleId="21">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after="120" w:afterLines="0"/>
      <w:ind w:left="420" w:leftChars="200"/>
    </w:pPr>
  </w:style>
  <w:style w:type="paragraph" w:styleId="10">
    <w:name w:val="caption"/>
    <w:basedOn w:val="1"/>
    <w:next w:val="1"/>
    <w:link w:val="36"/>
    <w:unhideWhenUsed/>
    <w:qFormat/>
    <w:uiPriority w:val="0"/>
    <w:pPr>
      <w:spacing w:after="50" w:afterLines="50" w:line="240" w:lineRule="auto"/>
      <w:ind w:firstLine="0" w:firstLineChars="0"/>
      <w:jc w:val="center"/>
    </w:pPr>
    <w:rPr>
      <w:rFonts w:ascii="Times New Roman" w:hAnsi="Times New Roman" w:eastAsia="宋体" w:cs="Times New Roman"/>
      <w:b/>
      <w:sz w:val="21"/>
    </w:rPr>
  </w:style>
  <w:style w:type="paragraph" w:styleId="11">
    <w:name w:val="annotation text"/>
    <w:basedOn w:val="1"/>
    <w:link w:val="35"/>
    <w:qFormat/>
    <w:uiPriority w:val="0"/>
    <w:pPr>
      <w:jc w:val="left"/>
    </w:pPr>
  </w:style>
  <w:style w:type="paragraph" w:styleId="12">
    <w:name w:val="Body Text"/>
    <w:basedOn w:val="1"/>
    <w:qFormat/>
    <w:uiPriority w:val="0"/>
    <w:pPr>
      <w:spacing w:after="120"/>
    </w:pPr>
    <w:rPr>
      <w:rFonts w:cs="Times New Roman"/>
    </w:rPr>
  </w:style>
  <w:style w:type="paragraph" w:styleId="13">
    <w:name w:val="toc 3"/>
    <w:basedOn w:val="1"/>
    <w:next w:val="1"/>
    <w:qFormat/>
    <w:uiPriority w:val="0"/>
    <w:pPr>
      <w:ind w:left="840" w:leftChars="400"/>
    </w:pPr>
  </w:style>
  <w:style w:type="paragraph" w:styleId="14">
    <w:name w:val="Plain Text"/>
    <w:basedOn w:val="12"/>
    <w:next w:val="12"/>
    <w:qFormat/>
    <w:uiPriority w:val="0"/>
    <w:pPr>
      <w:spacing w:after="0" w:afterLines="0" w:line="300" w:lineRule="auto"/>
      <w:ind w:firstLine="200" w:firstLineChars="200"/>
      <w:jc w:val="left"/>
    </w:pPr>
    <w:rPr>
      <w:kern w:val="0"/>
      <w:sz w:val="24"/>
    </w:rPr>
  </w:style>
  <w:style w:type="paragraph" w:styleId="15">
    <w:name w:val="footer"/>
    <w:basedOn w:val="1"/>
    <w:qFormat/>
    <w:uiPriority w:val="0"/>
    <w:pPr>
      <w:tabs>
        <w:tab w:val="center" w:pos="4153"/>
        <w:tab w:val="right" w:pos="8306"/>
      </w:tabs>
      <w:snapToGrid w:val="0"/>
      <w:jc w:val="left"/>
    </w:pPr>
    <w:rPr>
      <w:rFonts w:ascii="Times New Roman" w:hAnsi="Times New Roman"/>
      <w:sz w:val="21"/>
      <w:szCs w:val="18"/>
    </w:rPr>
  </w:style>
  <w:style w:type="paragraph" w:styleId="16">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7">
    <w:name w:val="toc 1"/>
    <w:basedOn w:val="1"/>
    <w:next w:val="1"/>
    <w:qFormat/>
    <w:uiPriority w:val="0"/>
  </w:style>
  <w:style w:type="paragraph" w:styleId="18">
    <w:name w:val="footnote text"/>
    <w:basedOn w:val="1"/>
    <w:qFormat/>
    <w:uiPriority w:val="0"/>
    <w:pPr>
      <w:snapToGrid w:val="0"/>
      <w:jc w:val="left"/>
    </w:pPr>
    <w:rPr>
      <w:kern w:val="0"/>
      <w:sz w:val="18"/>
      <w:szCs w:val="18"/>
    </w:rPr>
  </w:style>
  <w:style w:type="paragraph" w:styleId="19">
    <w:name w:val="toc 2"/>
    <w:basedOn w:val="1"/>
    <w:next w:val="1"/>
    <w:qFormat/>
    <w:uiPriority w:val="0"/>
    <w:pPr>
      <w:ind w:left="420" w:leftChars="200"/>
    </w:pPr>
  </w:style>
  <w:style w:type="paragraph" w:styleId="20">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Light List Accent 5"/>
    <w:basedOn w:val="21"/>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character" w:styleId="25">
    <w:name w:val="page number"/>
    <w:basedOn w:val="24"/>
    <w:qFormat/>
    <w:uiPriority w:val="0"/>
    <w:rPr>
      <w:rFonts w:cs="Times New Roman"/>
    </w:rPr>
  </w:style>
  <w:style w:type="character" w:styleId="26">
    <w:name w:val="annotation reference"/>
    <w:basedOn w:val="24"/>
    <w:unhideWhenUsed/>
    <w:qFormat/>
    <w:uiPriority w:val="0"/>
    <w:rPr>
      <w:sz w:val="21"/>
      <w:szCs w:val="21"/>
    </w:rPr>
  </w:style>
  <w:style w:type="character" w:customStyle="1" w:styleId="27">
    <w:name w:val="标题 1 Char"/>
    <w:link w:val="4"/>
    <w:qFormat/>
    <w:uiPriority w:val="0"/>
    <w:rPr>
      <w:rFonts w:ascii="Times New Roman" w:hAnsi="Times New Roman" w:eastAsia="黑体"/>
      <w:kern w:val="44"/>
      <w:sz w:val="30"/>
    </w:rPr>
  </w:style>
  <w:style w:type="paragraph" w:customStyle="1" w:styleId="28">
    <w:name w:val="表格内"/>
    <w:basedOn w:val="29"/>
    <w:qFormat/>
    <w:uiPriority w:val="99"/>
    <w:pPr>
      <w:spacing w:line="240" w:lineRule="auto"/>
      <w:ind w:firstLine="0" w:firstLineChars="0"/>
      <w:jc w:val="center"/>
    </w:pPr>
    <w:rPr>
      <w:rFonts w:ascii="Times New Roman" w:hAnsi="Times New Roman" w:eastAsia="仿宋"/>
    </w:rPr>
  </w:style>
  <w:style w:type="paragraph" w:customStyle="1" w:styleId="29">
    <w:name w:val="表内的"/>
    <w:basedOn w:val="1"/>
    <w:next w:val="1"/>
    <w:qFormat/>
    <w:uiPriority w:val="99"/>
    <w:pPr>
      <w:widowControl/>
      <w:adjustRightInd w:val="0"/>
      <w:snapToGrid w:val="0"/>
      <w:spacing w:line="240" w:lineRule="auto"/>
      <w:ind w:firstLine="0" w:firstLineChars="0"/>
      <w:jc w:val="center"/>
    </w:pPr>
    <w:rPr>
      <w:rFonts w:eastAsia="仿宋"/>
      <w:kern w:val="0"/>
      <w:sz w:val="21"/>
      <w:szCs w:val="20"/>
    </w:rPr>
  </w:style>
  <w:style w:type="paragraph" w:customStyle="1" w:styleId="30">
    <w:name w:val="表头"/>
    <w:basedOn w:val="1"/>
    <w:next w:val="28"/>
    <w:qFormat/>
    <w:uiPriority w:val="0"/>
    <w:pPr>
      <w:spacing w:before="50" w:beforeLines="50" w:line="240" w:lineRule="auto"/>
      <w:ind w:firstLine="0" w:firstLineChars="0"/>
      <w:jc w:val="center"/>
    </w:pPr>
    <w:rPr>
      <w:rFonts w:ascii="Times New Roman" w:hAnsi="Times New Roman" w:eastAsia="宋体" w:cs="Times New Roman"/>
      <w:b/>
      <w:sz w:val="21"/>
    </w:rPr>
  </w:style>
  <w:style w:type="table" w:customStyle="1" w:styleId="31">
    <w:name w:val="网格型3"/>
    <w:basedOn w:val="2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2">
    <w:name w:val="No Spacing"/>
    <w:qFormat/>
    <w:uiPriority w:val="1"/>
    <w:pPr>
      <w:widowControl w:val="0"/>
      <w:spacing w:line="276" w:lineRule="auto"/>
      <w:jc w:val="both"/>
    </w:pPr>
    <w:rPr>
      <w:rFonts w:ascii="Times New Roman" w:hAnsi="Times New Roman" w:eastAsia="宋体" w:cs="Times New Roman"/>
      <w:kern w:val="2"/>
      <w:sz w:val="21"/>
      <w:szCs w:val="22"/>
      <w:lang w:val="en-US" w:eastAsia="zh-CN" w:bidi="ar-SA"/>
    </w:rPr>
  </w:style>
  <w:style w:type="table" w:customStyle="1" w:styleId="33">
    <w:name w:val="浅色列表 - 强调文字颜色 11"/>
    <w:basedOn w:val="21"/>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5B9BD5" w:themeFill="accent1"/>
      </w:tcPr>
    </w:tblStylePr>
    <w:tblStylePr w:type="lastRow">
      <w:pPr>
        <w:spacing w:before="0" w:after="0" w:line="240" w:lineRule="auto"/>
      </w:pPr>
      <w:rPr>
        <w:b/>
        <w:bCs/>
      </w:r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customStyle="1" w:styleId="34">
    <w:name w:val="网格型1"/>
    <w:basedOn w:val="21"/>
    <w:unhideWhenUsed/>
    <w:qFormat/>
    <w:uiPriority w:val="99"/>
    <w:rPr>
      <w:rFonts w:ascii="Times New Roman" w:hAnsi="Times New Roman" w:eastAsia="Times New Roman"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5">
    <w:name w:val="批注文字 Char"/>
    <w:link w:val="11"/>
    <w:qFormat/>
    <w:uiPriority w:val="0"/>
  </w:style>
  <w:style w:type="character" w:customStyle="1" w:styleId="36">
    <w:name w:val="题注 Char"/>
    <w:link w:val="10"/>
    <w:qFormat/>
    <w:uiPriority w:val="0"/>
    <w:rPr>
      <w:rFonts w:ascii="Times New Roman" w:hAnsi="Times New Roman" w:eastAsia="宋体" w:cs="Times New Roman"/>
      <w:b/>
      <w:sz w:val="21"/>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255</Pages>
  <Words>145686</Words>
  <Characters>161063</Characters>
  <Lines>0</Lines>
  <Paragraphs>0</Paragraphs>
  <TotalTime>1</TotalTime>
  <ScaleCrop>false</ScaleCrop>
  <LinksUpToDate>false</LinksUpToDate>
  <CharactersWithSpaces>164758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2017-07-16T07:39:00Z</dcterms:created>
  <dc:creator>adminn</dc:creator>
  <cp:lastModifiedBy>无赖的瘦牛</cp:lastModifiedBy>
  <dcterms:modified xsi:type="dcterms:W3CDTF">2020-09-15T07:19:49Z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