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仿宋" w:cs="Times New Roman"/>
          <w:b/>
          <w:color w:val="000000"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color w:val="000000"/>
          <w:sz w:val="28"/>
          <w:szCs w:val="28"/>
        </w:rPr>
        <w:t>江苏新海石化有限公司有限公司清洁生产</w:t>
      </w:r>
    </w:p>
    <w:p>
      <w:pPr>
        <w:jc w:val="center"/>
        <w:rPr>
          <w:rFonts w:ascii="Times New Roman" w:hAnsi="Times New Roman" w:eastAsia="仿宋" w:cs="Times New Roman"/>
          <w:color w:val="000000"/>
          <w:sz w:val="18"/>
          <w:szCs w:val="18"/>
        </w:rPr>
      </w:pPr>
      <w:r>
        <w:rPr>
          <w:rFonts w:hint="eastAsia" w:ascii="Times New Roman" w:hAnsi="Times New Roman" w:eastAsia="仿宋" w:cs="Times New Roman"/>
          <w:color w:val="000000"/>
          <w:sz w:val="18"/>
          <w:szCs w:val="18"/>
        </w:rPr>
        <w:t>环境信息公示</w:t>
      </w:r>
    </w:p>
    <w:p>
      <w:pPr>
        <w:spacing w:line="560" w:lineRule="exact"/>
        <w:jc w:val="left"/>
        <w:rPr>
          <w:rFonts w:hint="eastAsia" w:ascii="Times New Roman" w:hAnsi="Times New Roman" w:eastAsia="仿宋" w:cs="Times New Roman"/>
          <w:color w:val="000000"/>
          <w:sz w:val="24"/>
          <w:szCs w:val="24"/>
        </w:rPr>
      </w:pPr>
    </w:p>
    <w:p>
      <w:pPr>
        <w:spacing w:line="560" w:lineRule="exact"/>
        <w:jc w:val="left"/>
        <w:rPr>
          <w:rFonts w:ascii="Times New Roman" w:hAnsi="Times New Roman" w:eastAsia="仿宋" w:cs="Times New Roman"/>
          <w:color w:val="000000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00000"/>
          <w:sz w:val="24"/>
          <w:szCs w:val="24"/>
        </w:rPr>
        <w:t>1、总则</w:t>
      </w:r>
    </w:p>
    <w:p>
      <w:pPr>
        <w:spacing w:line="560" w:lineRule="exact"/>
        <w:ind w:firstLine="480" w:firstLineChars="200"/>
        <w:rPr>
          <w:rFonts w:ascii="Times New Roman" w:hAnsi="Times New Roman" w:eastAsia="仿宋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" w:cs="Times New Roman"/>
          <w:color w:val="000000"/>
          <w:sz w:val="24"/>
          <w:szCs w:val="24"/>
        </w:rPr>
        <w:t>为自觉履行保护环境的义务，主动接受社会监督。按照国家相关法规以及标准等要求，结合我公司的实际生产情况，指定环境信息公示内容。</w:t>
      </w:r>
    </w:p>
    <w:p>
      <w:pPr>
        <w:jc w:val="left"/>
        <w:rPr>
          <w:rFonts w:ascii="Times New Roman" w:hAnsi="Times New Roman" w:eastAsia="仿宋" w:cs="Times New Roman"/>
          <w:color w:val="000000"/>
          <w:sz w:val="24"/>
          <w:szCs w:val="28"/>
        </w:rPr>
      </w:pPr>
      <w:r>
        <w:rPr>
          <w:rFonts w:hint="eastAsia" w:ascii="Times New Roman" w:hAnsi="Times New Roman" w:eastAsia="仿宋" w:cs="Times New Roman"/>
          <w:color w:val="000000"/>
          <w:sz w:val="24"/>
          <w:szCs w:val="28"/>
        </w:rPr>
        <w:t>2、依据</w:t>
      </w:r>
      <w:bookmarkStart w:id="0" w:name="_GoBack"/>
      <w:bookmarkEnd w:id="0"/>
    </w:p>
    <w:p>
      <w:pPr>
        <w:spacing w:line="560" w:lineRule="exact"/>
        <w:ind w:firstLine="480" w:firstLineChars="200"/>
        <w:rPr>
          <w:rFonts w:ascii="Times New Roman" w:hAnsi="Times New Roman" w:eastAsia="仿宋" w:cs="Times New Roman"/>
          <w:color w:val="000000"/>
          <w:sz w:val="24"/>
          <w:szCs w:val="28"/>
        </w:rPr>
      </w:pPr>
      <w:r>
        <w:rPr>
          <w:rFonts w:hint="eastAsia" w:ascii="Times New Roman" w:hAnsi="Times New Roman" w:eastAsia="仿宋" w:cs="Times New Roman"/>
          <w:color w:val="000000"/>
          <w:sz w:val="24"/>
          <w:szCs w:val="28"/>
        </w:rPr>
        <w:t>（1）《清洁生产审核办法》（国家发展和改革委员会、国家环境保护令第38号）；</w:t>
      </w:r>
    </w:p>
    <w:p>
      <w:pPr>
        <w:spacing w:line="560" w:lineRule="exact"/>
        <w:ind w:firstLine="480" w:firstLineChars="200"/>
        <w:rPr>
          <w:rFonts w:ascii="Times New Roman" w:hAnsi="Times New Roman" w:eastAsia="仿宋" w:cs="Times New Roman"/>
          <w:color w:val="000000"/>
          <w:sz w:val="24"/>
          <w:szCs w:val="28"/>
        </w:rPr>
      </w:pPr>
      <w:r>
        <w:rPr>
          <w:rFonts w:hint="eastAsia" w:ascii="Times New Roman" w:hAnsi="Times New Roman" w:eastAsia="仿宋" w:cs="Times New Roman"/>
          <w:color w:val="000000"/>
          <w:sz w:val="24"/>
          <w:szCs w:val="28"/>
        </w:rPr>
        <w:t>（2）《江苏省生态环境厅关于公布省2022年第一批强制性清洁生产审核重点企业名单的通告》（苏环办〔2022〕56号）；</w:t>
      </w:r>
    </w:p>
    <w:p>
      <w:pPr>
        <w:spacing w:line="560" w:lineRule="exact"/>
        <w:ind w:firstLine="480" w:firstLineChars="200"/>
        <w:rPr>
          <w:rFonts w:ascii="Times New Roman" w:hAnsi="Times New Roman" w:eastAsia="仿宋" w:cs="Times New Roman"/>
          <w:color w:val="000000"/>
          <w:sz w:val="24"/>
          <w:szCs w:val="28"/>
        </w:rPr>
      </w:pPr>
      <w:r>
        <w:rPr>
          <w:rFonts w:ascii="Times New Roman" w:hAnsi="Times New Roman" w:eastAsia="仿宋" w:cs="Times New Roman"/>
          <w:color w:val="000000"/>
          <w:sz w:val="24"/>
          <w:szCs w:val="28"/>
        </w:rPr>
        <w:t>（3）《</w:t>
      </w:r>
      <w:r>
        <w:rPr>
          <w:rFonts w:hint="eastAsia" w:ascii="Times New Roman" w:hAnsi="Times New Roman" w:eastAsia="仿宋" w:cs="Times New Roman"/>
          <w:color w:val="000000"/>
          <w:sz w:val="24"/>
          <w:szCs w:val="28"/>
        </w:rPr>
        <w:t>市生态环境局关于公布连云港市2022年强制性清洁生产审核重点企业名单的通知》（连环发〔2022〕89号）。</w:t>
      </w:r>
    </w:p>
    <w:p>
      <w:pPr>
        <w:jc w:val="left"/>
        <w:rPr>
          <w:rFonts w:ascii="Times New Roman" w:hAnsi="Times New Roman" w:eastAsia="仿宋" w:cs="Times New Roman"/>
          <w:color w:val="000000"/>
          <w:sz w:val="24"/>
          <w:szCs w:val="28"/>
        </w:rPr>
      </w:pPr>
      <w:r>
        <w:rPr>
          <w:rFonts w:ascii="Times New Roman" w:hAnsi="Times New Roman" w:eastAsia="仿宋" w:cs="Times New Roman"/>
          <w:color w:val="000000"/>
          <w:sz w:val="24"/>
          <w:szCs w:val="28"/>
        </w:rPr>
        <w:t>3、</w:t>
      </w:r>
      <w:r>
        <w:rPr>
          <w:rFonts w:hint="eastAsia" w:ascii="Times New Roman" w:hAnsi="Times New Roman" w:eastAsia="仿宋" w:cs="Times New Roman"/>
          <w:color w:val="000000"/>
          <w:sz w:val="24"/>
          <w:szCs w:val="28"/>
        </w:rPr>
        <w:t>环境信息公开内容</w:t>
      </w:r>
    </w:p>
    <w:p>
      <w:pPr>
        <w:spacing w:line="560" w:lineRule="exact"/>
        <w:jc w:val="left"/>
        <w:rPr>
          <w:rFonts w:ascii="Times New Roman" w:hAnsi="Times New Roman" w:eastAsia="仿宋" w:cs="Times New Roman"/>
          <w:color w:val="000000"/>
          <w:sz w:val="24"/>
          <w:szCs w:val="28"/>
        </w:rPr>
      </w:pPr>
      <w:r>
        <w:rPr>
          <w:rFonts w:hint="eastAsia" w:ascii="Times New Roman" w:hAnsi="Times New Roman" w:eastAsia="仿宋" w:cs="Times New Roman"/>
          <w:color w:val="000000"/>
          <w:sz w:val="24"/>
          <w:szCs w:val="28"/>
        </w:rPr>
        <w:t>3.1 基础信息</w:t>
      </w:r>
    </w:p>
    <w:p>
      <w:pPr>
        <w:spacing w:line="560" w:lineRule="exact"/>
        <w:ind w:firstLine="480" w:firstLineChars="200"/>
        <w:jc w:val="left"/>
        <w:rPr>
          <w:rFonts w:ascii="Times New Roman" w:hAnsi="Times New Roman" w:eastAsia="仿宋" w:cs="Times New Roman"/>
          <w:color w:val="000000"/>
          <w:sz w:val="24"/>
          <w:szCs w:val="28"/>
        </w:rPr>
      </w:pPr>
      <w:r>
        <w:rPr>
          <w:rFonts w:hint="eastAsia" w:ascii="Times New Roman" w:hAnsi="Times New Roman" w:eastAsia="仿宋" w:cs="Times New Roman"/>
          <w:color w:val="000000"/>
          <w:sz w:val="24"/>
          <w:szCs w:val="28"/>
        </w:rPr>
        <w:t>公司名称：江苏新海石化有限公司</w:t>
      </w:r>
    </w:p>
    <w:p>
      <w:pPr>
        <w:spacing w:line="560" w:lineRule="exact"/>
        <w:ind w:firstLine="480" w:firstLineChars="200"/>
        <w:jc w:val="left"/>
        <w:rPr>
          <w:rFonts w:ascii="Times New Roman" w:hAnsi="Times New Roman" w:eastAsia="仿宋" w:cs="Times New Roman"/>
          <w:color w:val="000000"/>
          <w:sz w:val="24"/>
          <w:szCs w:val="28"/>
        </w:rPr>
      </w:pPr>
      <w:r>
        <w:rPr>
          <w:rFonts w:hint="eastAsia" w:ascii="Times New Roman" w:hAnsi="Times New Roman" w:eastAsia="仿宋" w:cs="Times New Roman"/>
          <w:color w:val="000000"/>
          <w:sz w:val="24"/>
          <w:szCs w:val="28"/>
        </w:rPr>
        <w:t>法人代表：赵赞立</w:t>
      </w:r>
    </w:p>
    <w:p>
      <w:pPr>
        <w:spacing w:line="560" w:lineRule="exact"/>
        <w:ind w:firstLine="480" w:firstLineChars="200"/>
        <w:jc w:val="left"/>
        <w:rPr>
          <w:rFonts w:ascii="Times New Roman" w:hAnsi="Times New Roman" w:eastAsia="仿宋" w:cs="Times New Roman"/>
          <w:color w:val="000000"/>
          <w:sz w:val="24"/>
          <w:szCs w:val="28"/>
        </w:rPr>
      </w:pPr>
      <w:r>
        <w:rPr>
          <w:rFonts w:hint="eastAsia" w:ascii="Times New Roman" w:hAnsi="Times New Roman" w:eastAsia="仿宋" w:cs="Times New Roman"/>
          <w:color w:val="000000"/>
          <w:sz w:val="24"/>
          <w:szCs w:val="28"/>
        </w:rPr>
        <w:t>地理位置：江苏省连云港市赣榆区柘汪临港产业区</w:t>
      </w:r>
    </w:p>
    <w:p>
      <w:pPr>
        <w:spacing w:line="560" w:lineRule="exact"/>
        <w:jc w:val="left"/>
        <w:rPr>
          <w:rFonts w:ascii="Times New Roman" w:hAnsi="Times New Roman" w:eastAsia="仿宋" w:cs="Times New Roman"/>
          <w:color w:val="000000"/>
          <w:sz w:val="24"/>
          <w:szCs w:val="28"/>
        </w:rPr>
      </w:pPr>
      <w:r>
        <w:rPr>
          <w:rFonts w:hint="eastAsia" w:ascii="Times New Roman" w:hAnsi="Times New Roman" w:eastAsia="仿宋" w:cs="Times New Roman"/>
          <w:color w:val="000000"/>
          <w:sz w:val="24"/>
          <w:szCs w:val="28"/>
        </w:rPr>
        <w:t>3.2 主要原料使用情况</w:t>
      </w:r>
    </w:p>
    <w:tbl>
      <w:tblPr>
        <w:tblStyle w:val="5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4"/>
        <w:gridCol w:w="5133"/>
        <w:gridCol w:w="3021"/>
        <w:gridCol w:w="45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pct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Cs w:val="21"/>
              </w:rPr>
              <w:t>序号</w:t>
            </w:r>
          </w:p>
        </w:tc>
        <w:tc>
          <w:tcPr>
            <w:tcW w:w="1723" w:type="pct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Cs w:val="21"/>
              </w:rPr>
              <w:t>名称</w:t>
            </w:r>
          </w:p>
        </w:tc>
        <w:tc>
          <w:tcPr>
            <w:tcW w:w="1014" w:type="pct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Cs w:val="21"/>
              </w:rPr>
              <w:t>年使用量</w:t>
            </w:r>
          </w:p>
        </w:tc>
        <w:tc>
          <w:tcPr>
            <w:tcW w:w="1523" w:type="pct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Cs w:val="21"/>
              </w:rPr>
              <w:t>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pct"/>
          </w:tcPr>
          <w:p>
            <w:pPr>
              <w:pStyle w:val="11"/>
              <w:numPr>
                <w:ilvl w:val="0"/>
                <w:numId w:val="1"/>
              </w:numPr>
              <w:spacing w:line="320" w:lineRule="exact"/>
              <w:ind w:firstLineChars="0"/>
              <w:jc w:val="center"/>
              <w:rPr>
                <w:rFonts w:hint="eastAsia" w:ascii="Times New Roman" w:hAnsi="Times New Roman" w:eastAsia="仿宋" w:cs="Times New Roman"/>
              </w:rPr>
            </w:pPr>
          </w:p>
        </w:tc>
        <w:tc>
          <w:tcPr>
            <w:tcW w:w="1723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催化裂化催化剂</w:t>
            </w:r>
          </w:p>
        </w:tc>
        <w:tc>
          <w:tcPr>
            <w:tcW w:w="1014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1600</w:t>
            </w:r>
          </w:p>
        </w:tc>
        <w:tc>
          <w:tcPr>
            <w:tcW w:w="1523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t/a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740" w:type="pct"/>
          </w:tcPr>
          <w:p>
            <w:pPr>
              <w:pStyle w:val="11"/>
              <w:numPr>
                <w:ilvl w:val="0"/>
                <w:numId w:val="1"/>
              </w:numPr>
              <w:spacing w:line="320" w:lineRule="exact"/>
              <w:ind w:firstLineChars="0"/>
              <w:jc w:val="center"/>
              <w:rPr>
                <w:rFonts w:hint="eastAsia" w:ascii="Times New Roman" w:hAnsi="Times New Roman" w:eastAsia="仿宋" w:cs="Times New Roman"/>
              </w:rPr>
            </w:pPr>
          </w:p>
        </w:tc>
        <w:tc>
          <w:tcPr>
            <w:tcW w:w="1723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碱液</w:t>
            </w:r>
          </w:p>
        </w:tc>
        <w:tc>
          <w:tcPr>
            <w:tcW w:w="1014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5995</w:t>
            </w:r>
          </w:p>
        </w:tc>
        <w:tc>
          <w:tcPr>
            <w:tcW w:w="1523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t/a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pct"/>
          </w:tcPr>
          <w:p>
            <w:pPr>
              <w:pStyle w:val="11"/>
              <w:numPr>
                <w:ilvl w:val="0"/>
                <w:numId w:val="1"/>
              </w:numPr>
              <w:spacing w:line="320" w:lineRule="exact"/>
              <w:ind w:firstLineChars="0"/>
              <w:jc w:val="center"/>
              <w:rPr>
                <w:rFonts w:hint="eastAsia" w:ascii="Times New Roman" w:hAnsi="Times New Roman" w:eastAsia="仿宋" w:cs="Times New Roman"/>
              </w:rPr>
            </w:pPr>
          </w:p>
        </w:tc>
        <w:tc>
          <w:tcPr>
            <w:tcW w:w="1723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浓度32%的烧碱</w:t>
            </w:r>
          </w:p>
        </w:tc>
        <w:tc>
          <w:tcPr>
            <w:tcW w:w="1014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200</w:t>
            </w:r>
          </w:p>
        </w:tc>
        <w:tc>
          <w:tcPr>
            <w:tcW w:w="1523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t/a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pct"/>
          </w:tcPr>
          <w:p>
            <w:pPr>
              <w:pStyle w:val="11"/>
              <w:numPr>
                <w:ilvl w:val="0"/>
                <w:numId w:val="1"/>
              </w:numPr>
              <w:spacing w:line="320" w:lineRule="exact"/>
              <w:ind w:firstLineChars="0"/>
              <w:jc w:val="center"/>
              <w:rPr>
                <w:rFonts w:hint="eastAsia" w:ascii="Times New Roman" w:hAnsi="Times New Roman" w:eastAsia="仿宋" w:cs="Times New Roman"/>
              </w:rPr>
            </w:pPr>
          </w:p>
        </w:tc>
        <w:tc>
          <w:tcPr>
            <w:tcW w:w="1723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原油</w:t>
            </w:r>
          </w:p>
        </w:tc>
        <w:tc>
          <w:tcPr>
            <w:tcW w:w="1014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300</w:t>
            </w:r>
          </w:p>
        </w:tc>
        <w:tc>
          <w:tcPr>
            <w:tcW w:w="1523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万t/a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pct"/>
          </w:tcPr>
          <w:p>
            <w:pPr>
              <w:pStyle w:val="11"/>
              <w:numPr>
                <w:ilvl w:val="0"/>
                <w:numId w:val="1"/>
              </w:numPr>
              <w:spacing w:line="320" w:lineRule="exact"/>
              <w:ind w:firstLineChars="0"/>
              <w:jc w:val="center"/>
              <w:rPr>
                <w:rFonts w:hint="eastAsia" w:ascii="Times New Roman" w:hAnsi="Times New Roman" w:eastAsia="仿宋" w:cs="Times New Roman"/>
              </w:rPr>
            </w:pPr>
          </w:p>
        </w:tc>
        <w:tc>
          <w:tcPr>
            <w:tcW w:w="1723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碱液</w:t>
            </w:r>
          </w:p>
        </w:tc>
        <w:tc>
          <w:tcPr>
            <w:tcW w:w="1014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456</w:t>
            </w:r>
          </w:p>
        </w:tc>
        <w:tc>
          <w:tcPr>
            <w:tcW w:w="1523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t/a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pct"/>
          </w:tcPr>
          <w:p>
            <w:pPr>
              <w:pStyle w:val="11"/>
              <w:numPr>
                <w:ilvl w:val="0"/>
                <w:numId w:val="1"/>
              </w:numPr>
              <w:spacing w:line="320" w:lineRule="exact"/>
              <w:ind w:firstLineChars="0"/>
              <w:jc w:val="center"/>
              <w:rPr>
                <w:rFonts w:hint="eastAsia" w:ascii="Times New Roman" w:hAnsi="Times New Roman" w:eastAsia="仿宋" w:cs="Times New Roman"/>
              </w:rPr>
            </w:pPr>
          </w:p>
        </w:tc>
        <w:tc>
          <w:tcPr>
            <w:tcW w:w="1723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石脑油</w:t>
            </w:r>
          </w:p>
        </w:tc>
        <w:tc>
          <w:tcPr>
            <w:tcW w:w="1014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120</w:t>
            </w:r>
          </w:p>
        </w:tc>
        <w:tc>
          <w:tcPr>
            <w:tcW w:w="1523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万t/a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pct"/>
          </w:tcPr>
          <w:p>
            <w:pPr>
              <w:pStyle w:val="11"/>
              <w:numPr>
                <w:ilvl w:val="0"/>
                <w:numId w:val="1"/>
              </w:numPr>
              <w:spacing w:line="320" w:lineRule="exact"/>
              <w:ind w:firstLineChars="0"/>
              <w:jc w:val="center"/>
              <w:rPr>
                <w:rFonts w:hint="eastAsia" w:ascii="Times New Roman" w:hAnsi="Times New Roman" w:eastAsia="仿宋" w:cs="Times New Roman"/>
              </w:rPr>
            </w:pPr>
          </w:p>
        </w:tc>
        <w:tc>
          <w:tcPr>
            <w:tcW w:w="1723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常减压柴油 催化柴油</w:t>
            </w:r>
          </w:p>
        </w:tc>
        <w:tc>
          <w:tcPr>
            <w:tcW w:w="1014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80</w:t>
            </w:r>
          </w:p>
        </w:tc>
        <w:tc>
          <w:tcPr>
            <w:tcW w:w="1523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万t/a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pct"/>
          </w:tcPr>
          <w:p>
            <w:pPr>
              <w:pStyle w:val="11"/>
              <w:numPr>
                <w:ilvl w:val="0"/>
                <w:numId w:val="1"/>
              </w:numPr>
              <w:spacing w:line="320" w:lineRule="exact"/>
              <w:ind w:firstLineChars="0"/>
              <w:jc w:val="center"/>
              <w:rPr>
                <w:rFonts w:hint="eastAsia" w:ascii="Times New Roman" w:hAnsi="Times New Roman" w:eastAsia="仿宋" w:cs="Times New Roman"/>
              </w:rPr>
            </w:pPr>
          </w:p>
        </w:tc>
        <w:tc>
          <w:tcPr>
            <w:tcW w:w="1723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次氯酸钠</w:t>
            </w:r>
          </w:p>
        </w:tc>
        <w:tc>
          <w:tcPr>
            <w:tcW w:w="1014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400</w:t>
            </w:r>
          </w:p>
        </w:tc>
        <w:tc>
          <w:tcPr>
            <w:tcW w:w="1523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t/a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pct"/>
          </w:tcPr>
          <w:p>
            <w:pPr>
              <w:pStyle w:val="11"/>
              <w:widowControl/>
              <w:numPr>
                <w:ilvl w:val="0"/>
                <w:numId w:val="1"/>
              </w:numPr>
              <w:spacing w:line="320" w:lineRule="exact"/>
              <w:ind w:firstLineChars="0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723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盐酸</w:t>
            </w:r>
          </w:p>
        </w:tc>
        <w:tc>
          <w:tcPr>
            <w:tcW w:w="1014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180</w:t>
            </w:r>
          </w:p>
        </w:tc>
        <w:tc>
          <w:tcPr>
            <w:tcW w:w="1523" w:type="pct"/>
            <w:vAlign w:val="center"/>
          </w:tcPr>
          <w:p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t/a</w:t>
            </w:r>
          </w:p>
        </w:tc>
      </w:tr>
    </w:tbl>
    <w:p>
      <w:pPr>
        <w:spacing w:line="560" w:lineRule="exact"/>
        <w:jc w:val="left"/>
        <w:rPr>
          <w:rFonts w:ascii="Times New Roman" w:hAnsi="Times New Roman" w:eastAsia="仿宋" w:cs="Times New Roman"/>
          <w:color w:val="000000"/>
          <w:sz w:val="24"/>
          <w:szCs w:val="28"/>
        </w:rPr>
      </w:pPr>
      <w:r>
        <w:rPr>
          <w:rFonts w:hint="eastAsia" w:ascii="Times New Roman" w:hAnsi="Times New Roman" w:eastAsia="仿宋" w:cs="Times New Roman"/>
          <w:color w:val="000000"/>
          <w:sz w:val="24"/>
          <w:szCs w:val="28"/>
        </w:rPr>
        <w:t>3.3 污染物排放情况</w:t>
      </w:r>
    </w:p>
    <w:tbl>
      <w:tblPr>
        <w:tblStyle w:val="5"/>
        <w:tblW w:w="500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4"/>
        <w:gridCol w:w="5183"/>
        <w:gridCol w:w="3033"/>
        <w:gridCol w:w="45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pct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Cs w:val="21"/>
              </w:rPr>
              <w:t>序号</w:t>
            </w:r>
          </w:p>
        </w:tc>
        <w:tc>
          <w:tcPr>
            <w:tcW w:w="1740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Cs w:val="21"/>
              </w:rPr>
              <w:t>污染物名称</w:t>
            </w:r>
          </w:p>
        </w:tc>
        <w:tc>
          <w:tcPr>
            <w:tcW w:w="1018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Cs w:val="21"/>
              </w:rPr>
              <w:t>排放量（t/a）</w:t>
            </w:r>
          </w:p>
        </w:tc>
        <w:tc>
          <w:tcPr>
            <w:tcW w:w="1519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Cs w:val="21"/>
              </w:rPr>
              <w:t>备注（废气/废水）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pct"/>
          </w:tcPr>
          <w:p>
            <w:pPr>
              <w:pStyle w:val="11"/>
              <w:numPr>
                <w:ilvl w:val="0"/>
                <w:numId w:val="2"/>
              </w:numPr>
              <w:spacing w:line="320" w:lineRule="exact"/>
              <w:ind w:firstLineChars="0"/>
              <w:jc w:val="center"/>
              <w:rPr>
                <w:rFonts w:hint="eastAsia" w:ascii="Times New Roman" w:hAnsi="Times New Roman" w:eastAsia="仿宋" w:cs="Times New Roman"/>
              </w:rPr>
            </w:pPr>
          </w:p>
        </w:tc>
        <w:tc>
          <w:tcPr>
            <w:tcW w:w="1740" w:type="pct"/>
          </w:tcPr>
          <w:p>
            <w:pPr>
              <w:pStyle w:val="9"/>
              <w:adjustRightInd w:val="0"/>
              <w:snapToGrid w:val="0"/>
              <w:jc w:val="center"/>
              <w:rPr>
                <w:rFonts w:ascii="Times New Roman" w:hAnsi="Times New Roman" w:eastAsia="仿宋"/>
                <w:color w:val="000000"/>
              </w:rPr>
            </w:pPr>
            <w:r>
              <w:rPr>
                <w:rFonts w:ascii="Times New Roman" w:hAnsi="Times New Roman" w:eastAsia="仿宋"/>
                <w:color w:val="000000"/>
              </w:rPr>
              <w:t>颗粒物</w:t>
            </w:r>
          </w:p>
        </w:tc>
        <w:tc>
          <w:tcPr>
            <w:tcW w:w="1018" w:type="pct"/>
          </w:tcPr>
          <w:p>
            <w:pPr>
              <w:pStyle w:val="9"/>
              <w:adjustRightInd w:val="0"/>
              <w:snapToGrid w:val="0"/>
              <w:jc w:val="center"/>
              <w:rPr>
                <w:rFonts w:ascii="Times New Roman" w:hAnsi="Times New Roman" w:eastAsia="仿宋"/>
                <w:color w:val="000000"/>
              </w:rPr>
            </w:pPr>
            <w:r>
              <w:rPr>
                <w:rFonts w:ascii="Times New Roman" w:hAnsi="Times New Roman" w:eastAsia="仿宋"/>
                <w:color w:val="000000"/>
              </w:rPr>
              <w:t>88.806198</w:t>
            </w:r>
          </w:p>
        </w:tc>
        <w:tc>
          <w:tcPr>
            <w:tcW w:w="1519" w:type="pct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Cs w:val="21"/>
              </w:rPr>
              <w:t>废气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pct"/>
          </w:tcPr>
          <w:p>
            <w:pPr>
              <w:pStyle w:val="11"/>
              <w:numPr>
                <w:ilvl w:val="0"/>
                <w:numId w:val="2"/>
              </w:numPr>
              <w:spacing w:line="320" w:lineRule="exact"/>
              <w:ind w:firstLineChars="0"/>
              <w:jc w:val="center"/>
              <w:rPr>
                <w:rFonts w:hint="eastAsia" w:ascii="Times New Roman" w:hAnsi="Times New Roman" w:eastAsia="仿宋" w:cs="Times New Roman"/>
              </w:rPr>
            </w:pPr>
          </w:p>
        </w:tc>
        <w:tc>
          <w:tcPr>
            <w:tcW w:w="1740" w:type="pct"/>
          </w:tcPr>
          <w:p>
            <w:pPr>
              <w:pStyle w:val="9"/>
              <w:adjustRightInd w:val="0"/>
              <w:snapToGrid w:val="0"/>
              <w:jc w:val="center"/>
              <w:rPr>
                <w:rFonts w:ascii="Times New Roman" w:hAnsi="Times New Roman" w:eastAsia="仿宋"/>
                <w:color w:val="000000"/>
              </w:rPr>
            </w:pPr>
            <w:r>
              <w:rPr>
                <w:rFonts w:ascii="Times New Roman" w:hAnsi="Times New Roman" w:eastAsia="仿宋"/>
                <w:color w:val="000000"/>
              </w:rPr>
              <w:t>SO2</w:t>
            </w:r>
          </w:p>
        </w:tc>
        <w:tc>
          <w:tcPr>
            <w:tcW w:w="1018" w:type="pct"/>
          </w:tcPr>
          <w:p>
            <w:pPr>
              <w:pStyle w:val="9"/>
              <w:adjustRightInd w:val="0"/>
              <w:snapToGrid w:val="0"/>
              <w:jc w:val="center"/>
              <w:rPr>
                <w:rFonts w:ascii="Times New Roman" w:hAnsi="Times New Roman" w:eastAsia="仿宋"/>
                <w:color w:val="000000"/>
              </w:rPr>
            </w:pPr>
            <w:r>
              <w:rPr>
                <w:rFonts w:ascii="Times New Roman" w:hAnsi="Times New Roman" w:eastAsia="仿宋"/>
                <w:color w:val="000000"/>
              </w:rPr>
              <w:t>441.677997</w:t>
            </w:r>
          </w:p>
        </w:tc>
        <w:tc>
          <w:tcPr>
            <w:tcW w:w="1519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Cs w:val="21"/>
              </w:rPr>
              <w:t>废气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pct"/>
          </w:tcPr>
          <w:p>
            <w:pPr>
              <w:pStyle w:val="11"/>
              <w:numPr>
                <w:ilvl w:val="0"/>
                <w:numId w:val="2"/>
              </w:numPr>
              <w:spacing w:line="320" w:lineRule="exact"/>
              <w:ind w:firstLineChars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740" w:type="pct"/>
          </w:tcPr>
          <w:p>
            <w:pPr>
              <w:pStyle w:val="9"/>
              <w:adjustRightInd w:val="0"/>
              <w:snapToGrid w:val="0"/>
              <w:jc w:val="center"/>
              <w:rPr>
                <w:rFonts w:ascii="Times New Roman" w:hAnsi="Times New Roman" w:eastAsia="仿宋"/>
                <w:color w:val="000000"/>
              </w:rPr>
            </w:pPr>
            <w:r>
              <w:rPr>
                <w:rFonts w:ascii="Times New Roman" w:hAnsi="Times New Roman" w:eastAsia="仿宋"/>
                <w:color w:val="000000"/>
              </w:rPr>
              <w:t>NOx</w:t>
            </w:r>
          </w:p>
        </w:tc>
        <w:tc>
          <w:tcPr>
            <w:tcW w:w="1018" w:type="pct"/>
          </w:tcPr>
          <w:p>
            <w:pPr>
              <w:pStyle w:val="9"/>
              <w:adjustRightInd w:val="0"/>
              <w:snapToGrid w:val="0"/>
              <w:jc w:val="center"/>
              <w:rPr>
                <w:rFonts w:ascii="Times New Roman" w:hAnsi="Times New Roman" w:eastAsia="仿宋"/>
                <w:color w:val="000000"/>
              </w:rPr>
            </w:pPr>
            <w:r>
              <w:rPr>
                <w:rFonts w:ascii="Times New Roman" w:hAnsi="Times New Roman" w:eastAsia="仿宋"/>
                <w:color w:val="000000"/>
              </w:rPr>
              <w:t>293.505994</w:t>
            </w:r>
          </w:p>
        </w:tc>
        <w:tc>
          <w:tcPr>
            <w:tcW w:w="1519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Cs w:val="21"/>
              </w:rPr>
              <w:t>废气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723" w:type="pct"/>
          </w:tcPr>
          <w:p>
            <w:pPr>
              <w:pStyle w:val="11"/>
              <w:numPr>
                <w:ilvl w:val="0"/>
                <w:numId w:val="2"/>
              </w:numPr>
              <w:spacing w:line="320" w:lineRule="exact"/>
              <w:ind w:firstLineChars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740" w:type="pct"/>
          </w:tcPr>
          <w:p>
            <w:pPr>
              <w:pStyle w:val="9"/>
              <w:adjustRightInd w:val="0"/>
              <w:snapToGrid w:val="0"/>
              <w:jc w:val="center"/>
              <w:rPr>
                <w:rFonts w:ascii="Times New Roman" w:hAnsi="Times New Roman" w:eastAsia="仿宋"/>
                <w:color w:val="000000"/>
              </w:rPr>
            </w:pPr>
            <w:r>
              <w:rPr>
                <w:rFonts w:ascii="Times New Roman" w:hAnsi="Times New Roman" w:eastAsia="仿宋"/>
                <w:color w:val="000000"/>
              </w:rPr>
              <w:t>VOCs</w:t>
            </w:r>
          </w:p>
        </w:tc>
        <w:tc>
          <w:tcPr>
            <w:tcW w:w="1018" w:type="pct"/>
          </w:tcPr>
          <w:p>
            <w:pPr>
              <w:pStyle w:val="9"/>
              <w:adjustRightInd w:val="0"/>
              <w:snapToGrid w:val="0"/>
              <w:jc w:val="center"/>
              <w:rPr>
                <w:rFonts w:ascii="Times New Roman" w:hAnsi="Times New Roman" w:eastAsia="仿宋"/>
                <w:color w:val="000000"/>
              </w:rPr>
            </w:pPr>
            <w:r>
              <w:rPr>
                <w:rFonts w:ascii="Times New Roman" w:hAnsi="Times New Roman" w:eastAsia="仿宋"/>
                <w:color w:val="000000"/>
              </w:rPr>
              <w:t>4113.3086</w:t>
            </w:r>
          </w:p>
        </w:tc>
        <w:tc>
          <w:tcPr>
            <w:tcW w:w="1519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Cs w:val="21"/>
              </w:rPr>
              <w:t>废气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723" w:type="pct"/>
          </w:tcPr>
          <w:p>
            <w:pPr>
              <w:pStyle w:val="11"/>
              <w:numPr>
                <w:ilvl w:val="0"/>
                <w:numId w:val="2"/>
              </w:numPr>
              <w:spacing w:line="320" w:lineRule="exact"/>
              <w:ind w:firstLineChars="0"/>
              <w:jc w:val="center"/>
              <w:rPr>
                <w:rFonts w:hint="eastAsia" w:ascii="Times New Roman" w:hAnsi="Times New Roman" w:eastAsia="仿宋" w:cs="Times New Roman"/>
              </w:rPr>
            </w:pPr>
          </w:p>
        </w:tc>
        <w:tc>
          <w:tcPr>
            <w:tcW w:w="1740" w:type="pct"/>
          </w:tcPr>
          <w:p>
            <w:pPr>
              <w:pStyle w:val="10"/>
              <w:adjustRightInd w:val="0"/>
              <w:snapToGrid w:val="0"/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CODcr</w:t>
            </w:r>
          </w:p>
        </w:tc>
        <w:tc>
          <w:tcPr>
            <w:tcW w:w="1018" w:type="pct"/>
          </w:tcPr>
          <w:p>
            <w:pPr>
              <w:pStyle w:val="10"/>
              <w:adjustRightInd w:val="0"/>
              <w:snapToGrid w:val="0"/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568.440000</w:t>
            </w:r>
          </w:p>
        </w:tc>
        <w:tc>
          <w:tcPr>
            <w:tcW w:w="1519" w:type="pct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Cs w:val="21"/>
              </w:rPr>
              <w:t>废水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723" w:type="pct"/>
          </w:tcPr>
          <w:p>
            <w:pPr>
              <w:pStyle w:val="11"/>
              <w:numPr>
                <w:ilvl w:val="0"/>
                <w:numId w:val="2"/>
              </w:numPr>
              <w:spacing w:line="320" w:lineRule="exact"/>
              <w:ind w:firstLineChars="0"/>
              <w:jc w:val="center"/>
              <w:rPr>
                <w:rFonts w:hint="eastAsia" w:ascii="Times New Roman" w:hAnsi="Times New Roman" w:eastAsia="仿宋" w:cs="Times New Roman"/>
              </w:rPr>
            </w:pPr>
          </w:p>
        </w:tc>
        <w:tc>
          <w:tcPr>
            <w:tcW w:w="1740" w:type="pct"/>
          </w:tcPr>
          <w:p>
            <w:pPr>
              <w:pStyle w:val="10"/>
              <w:adjustRightInd w:val="0"/>
              <w:snapToGrid w:val="0"/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氨氮</w:t>
            </w:r>
          </w:p>
        </w:tc>
        <w:tc>
          <w:tcPr>
            <w:tcW w:w="1018" w:type="pct"/>
          </w:tcPr>
          <w:p>
            <w:pPr>
              <w:pStyle w:val="10"/>
              <w:adjustRightInd w:val="0"/>
              <w:snapToGrid w:val="0"/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38.138700</w:t>
            </w:r>
          </w:p>
        </w:tc>
        <w:tc>
          <w:tcPr>
            <w:tcW w:w="1519" w:type="pct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Cs w:val="21"/>
              </w:rPr>
              <w:t>废水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723" w:type="pct"/>
          </w:tcPr>
          <w:p>
            <w:pPr>
              <w:pStyle w:val="11"/>
              <w:numPr>
                <w:ilvl w:val="0"/>
                <w:numId w:val="2"/>
              </w:numPr>
              <w:spacing w:line="320" w:lineRule="exact"/>
              <w:ind w:firstLineChars="0"/>
              <w:jc w:val="center"/>
              <w:rPr>
                <w:rFonts w:hint="eastAsia" w:ascii="Times New Roman" w:hAnsi="Times New Roman" w:eastAsia="仿宋" w:cs="Times New Roman"/>
              </w:rPr>
            </w:pPr>
          </w:p>
        </w:tc>
        <w:tc>
          <w:tcPr>
            <w:tcW w:w="1740" w:type="pct"/>
          </w:tcPr>
          <w:p>
            <w:pPr>
              <w:pStyle w:val="10"/>
              <w:adjustRightInd w:val="0"/>
              <w:snapToGrid w:val="0"/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总氮（以N计）</w:t>
            </w:r>
          </w:p>
        </w:tc>
        <w:tc>
          <w:tcPr>
            <w:tcW w:w="1018" w:type="pct"/>
          </w:tcPr>
          <w:p>
            <w:pPr>
              <w:pStyle w:val="10"/>
              <w:adjustRightInd w:val="0"/>
              <w:snapToGrid w:val="0"/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104.868100</w:t>
            </w:r>
          </w:p>
        </w:tc>
        <w:tc>
          <w:tcPr>
            <w:tcW w:w="1519" w:type="pct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Cs w:val="21"/>
              </w:rPr>
              <w:t>废水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pct"/>
          </w:tcPr>
          <w:p>
            <w:pPr>
              <w:pStyle w:val="11"/>
              <w:numPr>
                <w:ilvl w:val="0"/>
                <w:numId w:val="2"/>
              </w:numPr>
              <w:spacing w:line="320" w:lineRule="exact"/>
              <w:ind w:firstLineChars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740" w:type="pct"/>
          </w:tcPr>
          <w:p>
            <w:pPr>
              <w:pStyle w:val="10"/>
              <w:adjustRightInd w:val="0"/>
              <w:snapToGrid w:val="0"/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总磷（以P计）</w:t>
            </w:r>
          </w:p>
        </w:tc>
        <w:tc>
          <w:tcPr>
            <w:tcW w:w="1018" w:type="pct"/>
          </w:tcPr>
          <w:p>
            <w:pPr>
              <w:pStyle w:val="10"/>
              <w:adjustRightInd w:val="0"/>
              <w:snapToGrid w:val="0"/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0.478100</w:t>
            </w:r>
          </w:p>
        </w:tc>
        <w:tc>
          <w:tcPr>
            <w:tcW w:w="1519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Cs w:val="21"/>
              </w:rPr>
              <w:t>废水</w:t>
            </w:r>
          </w:p>
        </w:tc>
      </w:tr>
    </w:tbl>
    <w:p>
      <w:pPr>
        <w:spacing w:line="560" w:lineRule="exact"/>
        <w:jc w:val="left"/>
        <w:rPr>
          <w:rFonts w:ascii="Times New Roman" w:hAnsi="Times New Roman" w:eastAsia="仿宋" w:cs="Times New Roman"/>
          <w:color w:val="000000"/>
          <w:sz w:val="24"/>
          <w:szCs w:val="28"/>
        </w:rPr>
      </w:pPr>
      <w:r>
        <w:rPr>
          <w:rFonts w:hint="eastAsia" w:ascii="Times New Roman" w:hAnsi="Times New Roman" w:eastAsia="仿宋" w:cs="Times New Roman"/>
          <w:color w:val="000000"/>
          <w:sz w:val="24"/>
          <w:szCs w:val="28"/>
        </w:rPr>
        <w:t>3.4 企业固体废物产生及处置情况</w:t>
      </w:r>
    </w:p>
    <w:tbl>
      <w:tblPr>
        <w:tblStyle w:val="5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2154"/>
        <w:gridCol w:w="5183"/>
        <w:gridCol w:w="3033"/>
        <w:gridCol w:w="452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3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序号</w:t>
            </w:r>
          </w:p>
        </w:tc>
        <w:tc>
          <w:tcPr>
            <w:tcW w:w="1740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固废名称</w:t>
            </w:r>
          </w:p>
        </w:tc>
        <w:tc>
          <w:tcPr>
            <w:tcW w:w="1018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2021年产量（吨）</w:t>
            </w:r>
          </w:p>
        </w:tc>
        <w:tc>
          <w:tcPr>
            <w:tcW w:w="1519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处置去向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94" w:hRule="atLeast"/>
          <w:jc w:val="center"/>
        </w:trPr>
        <w:tc>
          <w:tcPr>
            <w:tcW w:w="723" w:type="pct"/>
            <w:vAlign w:val="center"/>
          </w:tcPr>
          <w:p>
            <w:pPr>
              <w:pStyle w:val="11"/>
              <w:numPr>
                <w:ilvl w:val="0"/>
                <w:numId w:val="3"/>
              </w:numPr>
              <w:spacing w:line="320" w:lineRule="exact"/>
              <w:ind w:firstLineChars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740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废活性炭HW49（900-039-49）</w:t>
            </w:r>
          </w:p>
        </w:tc>
        <w:tc>
          <w:tcPr>
            <w:tcW w:w="1018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13.78</w:t>
            </w:r>
          </w:p>
        </w:tc>
        <w:tc>
          <w:tcPr>
            <w:tcW w:w="1519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天能炭素（江苏）有限公司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23" w:type="pct"/>
            <w:vAlign w:val="center"/>
          </w:tcPr>
          <w:p>
            <w:pPr>
              <w:pStyle w:val="11"/>
              <w:numPr>
                <w:ilvl w:val="0"/>
                <w:numId w:val="3"/>
              </w:numPr>
              <w:spacing w:line="320" w:lineRule="exact"/>
              <w:ind w:firstLineChars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740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废重整过滤介质HW08（251-012-08）</w:t>
            </w:r>
          </w:p>
        </w:tc>
        <w:tc>
          <w:tcPr>
            <w:tcW w:w="1018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380.9</w:t>
            </w:r>
          </w:p>
        </w:tc>
        <w:tc>
          <w:tcPr>
            <w:tcW w:w="1519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南阳市油田振兴特种油品有限公司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23" w:type="pct"/>
            <w:vAlign w:val="center"/>
          </w:tcPr>
          <w:p>
            <w:pPr>
              <w:pStyle w:val="11"/>
              <w:numPr>
                <w:ilvl w:val="0"/>
                <w:numId w:val="3"/>
              </w:numPr>
              <w:spacing w:line="320" w:lineRule="exact"/>
              <w:ind w:firstLineChars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740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废油泥HW08（251-002-08）</w:t>
            </w:r>
          </w:p>
        </w:tc>
        <w:tc>
          <w:tcPr>
            <w:tcW w:w="1018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1025.82</w:t>
            </w:r>
          </w:p>
        </w:tc>
        <w:tc>
          <w:tcPr>
            <w:tcW w:w="1519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南阳市油田振兴特种油品有限公司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23" w:type="pct"/>
            <w:vAlign w:val="center"/>
          </w:tcPr>
          <w:p>
            <w:pPr>
              <w:pStyle w:val="11"/>
              <w:numPr>
                <w:ilvl w:val="0"/>
                <w:numId w:val="3"/>
              </w:numPr>
              <w:spacing w:line="320" w:lineRule="exact"/>
              <w:ind w:firstLineChars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740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废加氢催化剂HW50（251-016-50）</w:t>
            </w:r>
          </w:p>
        </w:tc>
        <w:tc>
          <w:tcPr>
            <w:tcW w:w="1018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510.12</w:t>
            </w:r>
          </w:p>
        </w:tc>
        <w:tc>
          <w:tcPr>
            <w:tcW w:w="1519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尉氏鑫源钼业有限公司处置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23" w:type="pct"/>
            <w:vAlign w:val="center"/>
          </w:tcPr>
          <w:p>
            <w:pPr>
              <w:pStyle w:val="11"/>
              <w:numPr>
                <w:ilvl w:val="0"/>
                <w:numId w:val="3"/>
              </w:numPr>
              <w:spacing w:line="320" w:lineRule="exact"/>
              <w:ind w:firstLineChars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740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废弃沾染物HW49（900-041-49）</w:t>
            </w:r>
          </w:p>
        </w:tc>
        <w:tc>
          <w:tcPr>
            <w:tcW w:w="1018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1.42</w:t>
            </w:r>
          </w:p>
        </w:tc>
        <w:tc>
          <w:tcPr>
            <w:tcW w:w="1519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中节能（连云港）清洁技术发展有限公司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723" w:type="pct"/>
            <w:vAlign w:val="center"/>
          </w:tcPr>
          <w:p>
            <w:pPr>
              <w:pStyle w:val="11"/>
              <w:numPr>
                <w:ilvl w:val="0"/>
                <w:numId w:val="3"/>
              </w:numPr>
              <w:spacing w:line="320" w:lineRule="exact"/>
              <w:ind w:firstLineChars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740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废催化裂化催化剂HW50（251-017-50）</w:t>
            </w:r>
          </w:p>
        </w:tc>
        <w:tc>
          <w:tcPr>
            <w:tcW w:w="1018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1186.68</w:t>
            </w:r>
          </w:p>
        </w:tc>
        <w:tc>
          <w:tcPr>
            <w:tcW w:w="1519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山东齐力环保科技有限公司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尉氏鑫源钼业有限公司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23" w:type="pct"/>
            <w:vAlign w:val="center"/>
          </w:tcPr>
          <w:p>
            <w:pPr>
              <w:pStyle w:val="11"/>
              <w:numPr>
                <w:ilvl w:val="0"/>
                <w:numId w:val="3"/>
              </w:numPr>
              <w:spacing w:line="320" w:lineRule="exact"/>
              <w:ind w:firstLineChars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740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化验废液HW49（900-047-49）</w:t>
            </w:r>
          </w:p>
        </w:tc>
        <w:tc>
          <w:tcPr>
            <w:tcW w:w="1018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0.58</w:t>
            </w:r>
          </w:p>
        </w:tc>
        <w:tc>
          <w:tcPr>
            <w:tcW w:w="1519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中节能（连云港）清洁技术发展有限公司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23" w:type="pct"/>
            <w:vAlign w:val="center"/>
          </w:tcPr>
          <w:p>
            <w:pPr>
              <w:pStyle w:val="11"/>
              <w:numPr>
                <w:ilvl w:val="0"/>
                <w:numId w:val="3"/>
              </w:numPr>
              <w:spacing w:line="320" w:lineRule="exact"/>
              <w:ind w:firstLineChars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740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废树脂催化剂HW13（900-015-13）</w:t>
            </w:r>
          </w:p>
        </w:tc>
        <w:tc>
          <w:tcPr>
            <w:tcW w:w="1018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119.98</w:t>
            </w:r>
          </w:p>
        </w:tc>
        <w:tc>
          <w:tcPr>
            <w:tcW w:w="1519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中节能（连云港）清洁技术发展有限公司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723" w:type="pct"/>
            <w:vAlign w:val="center"/>
          </w:tcPr>
          <w:p>
            <w:pPr>
              <w:pStyle w:val="11"/>
              <w:numPr>
                <w:ilvl w:val="0"/>
                <w:numId w:val="3"/>
              </w:numPr>
              <w:spacing w:line="320" w:lineRule="exact"/>
              <w:ind w:firstLineChars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740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污油浮渣HW08（251-004-08）</w:t>
            </w:r>
          </w:p>
        </w:tc>
        <w:tc>
          <w:tcPr>
            <w:tcW w:w="1018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9893.01</w:t>
            </w:r>
          </w:p>
        </w:tc>
        <w:tc>
          <w:tcPr>
            <w:tcW w:w="1519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回炼至焦化装置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723" w:type="pct"/>
            <w:vAlign w:val="center"/>
          </w:tcPr>
          <w:p>
            <w:pPr>
              <w:pStyle w:val="11"/>
              <w:numPr>
                <w:ilvl w:val="0"/>
                <w:numId w:val="3"/>
              </w:numPr>
              <w:spacing w:line="320" w:lineRule="exact"/>
              <w:ind w:firstLineChars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740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污油HW08（251-005-08）</w:t>
            </w:r>
          </w:p>
        </w:tc>
        <w:tc>
          <w:tcPr>
            <w:tcW w:w="1018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588.73</w:t>
            </w:r>
          </w:p>
        </w:tc>
        <w:tc>
          <w:tcPr>
            <w:tcW w:w="1519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回炼至焦化装置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723" w:type="pct"/>
            <w:vAlign w:val="center"/>
          </w:tcPr>
          <w:p>
            <w:pPr>
              <w:pStyle w:val="11"/>
              <w:numPr>
                <w:ilvl w:val="0"/>
                <w:numId w:val="3"/>
              </w:numPr>
              <w:spacing w:line="320" w:lineRule="exact"/>
              <w:ind w:firstLineChars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740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废碱渣HW35（251-015-35）</w:t>
            </w:r>
          </w:p>
        </w:tc>
        <w:tc>
          <w:tcPr>
            <w:tcW w:w="1018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2142</w:t>
            </w:r>
          </w:p>
        </w:tc>
        <w:tc>
          <w:tcPr>
            <w:tcW w:w="1519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回炼至硫磺装置</w:t>
            </w:r>
          </w:p>
        </w:tc>
      </w:tr>
    </w:tbl>
    <w:p>
      <w:pPr>
        <w:spacing w:line="560" w:lineRule="exact"/>
        <w:jc w:val="left"/>
        <w:rPr>
          <w:rFonts w:hint="eastAsia" w:ascii="Times New Roman" w:hAnsi="Times New Roman" w:eastAsia="仿宋" w:cs="Times New Roman"/>
          <w:color w:val="000000"/>
          <w:sz w:val="28"/>
          <w:szCs w:val="28"/>
        </w:rPr>
      </w:pPr>
    </w:p>
    <w:sectPr>
      <w:pgSz w:w="16839" w:h="23814"/>
      <w:pgMar w:top="1440" w:right="1080" w:bottom="1213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384AC3"/>
    <w:multiLevelType w:val="multilevel"/>
    <w:tmpl w:val="39384AC3"/>
    <w:lvl w:ilvl="0" w:tentative="0">
      <w:start w:val="1"/>
      <w:numFmt w:val="decimal"/>
      <w:suff w:val="nothing"/>
      <w:lvlText w:val="%1"/>
      <w:lvlJc w:val="center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06F1925"/>
    <w:multiLevelType w:val="multilevel"/>
    <w:tmpl w:val="706F1925"/>
    <w:lvl w:ilvl="0" w:tentative="0">
      <w:start w:val="1"/>
      <w:numFmt w:val="decimal"/>
      <w:suff w:val="nothing"/>
      <w:lvlText w:val="%1"/>
      <w:lvlJc w:val="center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D8B0479"/>
    <w:multiLevelType w:val="multilevel"/>
    <w:tmpl w:val="7D8B0479"/>
    <w:lvl w:ilvl="0" w:tentative="0">
      <w:start w:val="1"/>
      <w:numFmt w:val="decimal"/>
      <w:suff w:val="nothing"/>
      <w:lvlText w:val="%1"/>
      <w:lvlJc w:val="center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0ZDY2MmM4MzFiOThmYTBlMDU5ZDU1MDViZDE4YTYifQ=="/>
  </w:docVars>
  <w:rsids>
    <w:rsidRoot w:val="00346AE7"/>
    <w:rsid w:val="00072AB1"/>
    <w:rsid w:val="00124279"/>
    <w:rsid w:val="001D507F"/>
    <w:rsid w:val="00346AE7"/>
    <w:rsid w:val="004976F6"/>
    <w:rsid w:val="006F6E88"/>
    <w:rsid w:val="007969DB"/>
    <w:rsid w:val="007F5AD7"/>
    <w:rsid w:val="00A03854"/>
    <w:rsid w:val="00A36A53"/>
    <w:rsid w:val="00C62349"/>
    <w:rsid w:val="00CE4BB5"/>
    <w:rsid w:val="212111BB"/>
    <w:rsid w:val="28E25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paragraph" w:customStyle="1" w:styleId="9">
    <w:name w:val="正文_7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paragraph" w:customStyle="1" w:styleId="10">
    <w:name w:val="正文_44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正文_3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customStyle="1" w:styleId="13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1102</Characters>
  <Lines>9</Lines>
  <Paragraphs>2</Paragraphs>
  <TotalTime>51</TotalTime>
  <ScaleCrop>false</ScaleCrop>
  <LinksUpToDate>false</LinksUpToDate>
  <CharactersWithSpaces>1293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2022-05-04T01:25:00Z</dcterms:created>
  <dc:creator>绿源</dc:creator>
  <cp:lastModifiedBy>流窜的风云</cp:lastModifiedBy>
  <dcterms:modified xsi:type="dcterms:W3CDTF">2022-05-04T02:57:46Z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0D62E7143F0047239E6C2DB875F3AFBB</vt:lpwstr>
  </property>
</Properties>
</file>